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800"/>
      </w:pPr>
      <w:r>
        <w:rPr>
          <w:rFonts w:ascii="Arial" w:cs="Arial" w:eastAsia="Arial" w:hAnsi="Arial"/>
          <w:b/>
          <w:bCs/>
          <w:color w:val="09090B"/>
          <w:sz w:val="52"/>
          <w:szCs w:val="52"/>
        </w:rPr>
        <w:t xml:space="preserve">POLÍTICA DE USO DE</w:t>
      </w:r>
    </w:p>
    <w:p>
      <w:pPr>
        <w:spacing w:after="200"/>
      </w:pPr>
      <w:r>
        <w:rPr>
          <w:rFonts w:ascii="Arial" w:cs="Arial" w:eastAsia="Arial" w:hAnsi="Arial"/>
          <w:b/>
          <w:bCs/>
          <w:color w:val="09090B"/>
          <w:sz w:val="52"/>
          <w:szCs w:val="52"/>
        </w:rPr>
        <w:t xml:space="preserve">INTELIGENCIA ARTIFICIAL</w:t>
      </w:r>
    </w:p>
    <w:p>
      <w:pPr>
        <w:pBdr>
          <w:bottom w:val="single" w:color="DFE104" w:sz="36" w:space="6"/>
        </w:pBdr>
        <w:spacing w:after="600"/>
      </w:pPr>
      <w:r>
        <w:rPr>
          <w:rFonts w:ascii="Arial" w:cs="Arial" w:eastAsia="Arial" w:hAnsi="Arial"/>
          <w:b/>
          <w:bCs/>
          <w:sz w:val="32"/>
          <w:szCs w:val="32"/>
          <w:highlight w:val="yellow"/>
        </w:rPr>
        <w:t xml:space="preserve">[NOMBRE DE LA EMPRESA]</w:t>
      </w:r>
    </w:p>
    <w:p>
      <w:pPr>
        <w:spacing w:after="140" w:line="300"/>
      </w:pPr>
      <w:r>
        <w:rPr>
          <w:rFonts w:ascii="Arial" w:cs="Arial" w:eastAsia="Arial" w:hAnsi="Arial"/>
        </w:rPr>
        <w:t xml:space="preserve">Código del documento: </w:t>
      </w:r>
      <w:r>
        <w:rPr>
          <w:rFonts w:ascii="Arial" w:cs="Arial" w:eastAsia="Arial" w:hAnsi="Arial"/>
          <w:highlight w:val="yellow"/>
        </w:rPr>
        <w:t xml:space="preserve">[POL-TI-001]</w:t>
      </w:r>
    </w:p>
    <w:p>
      <w:pPr>
        <w:spacing w:after="140" w:line="300"/>
      </w:pPr>
      <w:r>
        <w:rPr>
          <w:rFonts w:ascii="Arial" w:cs="Arial" w:eastAsia="Arial" w:hAnsi="Arial"/>
        </w:rPr>
        <w:t xml:space="preserve">Versión: </w:t>
      </w:r>
      <w:r>
        <w:rPr>
          <w:rFonts w:ascii="Arial" w:cs="Arial" w:eastAsia="Arial" w:hAnsi="Arial"/>
          <w:highlight w:val="yellow"/>
        </w:rPr>
        <w:t xml:space="preserve">[1.0]</w:t>
      </w:r>
      <w:r>
        <w:rPr>
          <w:rFonts w:ascii="Arial" w:cs="Arial" w:eastAsia="Arial" w:hAnsi="Arial"/>
        </w:rPr>
        <w:t xml:space="preserve">     Fecha de aprobación: </w:t>
      </w:r>
      <w:r>
        <w:rPr>
          <w:rFonts w:ascii="Arial" w:cs="Arial" w:eastAsia="Arial" w:hAnsi="Arial"/>
          <w:highlight w:val="yellow"/>
        </w:rPr>
        <w:t xml:space="preserve">[DD/MM/AAAA]</w:t>
      </w:r>
    </w:p>
    <w:p>
      <w:pPr>
        <w:spacing w:after="140" w:line="300"/>
      </w:pPr>
      <w:r>
        <w:rPr>
          <w:rFonts w:ascii="Arial" w:cs="Arial" w:eastAsia="Arial" w:hAnsi="Arial"/>
        </w:rPr>
        <w:t xml:space="preserve">Aprobado por: </w:t>
      </w:r>
      <w:r>
        <w:rPr>
          <w:rFonts w:ascii="Arial" w:cs="Arial" w:eastAsia="Arial" w:hAnsi="Arial"/>
          <w:highlight w:val="yellow"/>
        </w:rPr>
        <w:t xml:space="preserve">[Gerencia general / Junta directiva]</w:t>
      </w:r>
    </w:p>
    <w:p>
      <w:pPr>
        <w:spacing w:after="140" w:line="300"/>
      </w:pPr>
      <w:r>
        <w:rPr>
          <w:rFonts w:ascii="Arial" w:cs="Arial" w:eastAsia="Arial" w:hAnsi="Arial"/>
        </w:rPr>
        <w:t xml:space="preserve">Responsable del documento: </w:t>
      </w:r>
      <w:r>
        <w:rPr>
          <w:rFonts w:ascii="Arial" w:cs="Arial" w:eastAsia="Arial" w:hAnsi="Arial"/>
          <w:highlight w:val="yellow"/>
        </w:rPr>
        <w:t xml:space="preserve">[Cargo del responsable de IA]</w:t>
      </w:r>
    </w:p>
    <w:p>
      <w:pPr>
        <w:spacing w:after="140" w:line="300"/>
      </w:pPr>
      <w:r>
        <w:rPr>
          <w:rFonts w:ascii="Arial" w:cs="Arial" w:eastAsia="Arial" w:hAnsi="Arial"/>
        </w:rPr>
        <w:t xml:space="preserve">Próxima revisión: </w:t>
      </w:r>
      <w:r>
        <w:rPr>
          <w:rFonts w:ascii="Arial" w:cs="Arial" w:eastAsia="Arial" w:hAnsi="Arial"/>
          <w:highlight w:val="yellow"/>
        </w:rPr>
        <w:t xml:space="preserve">[DD/MM/AAAA, máximo seis meses después de la aprobación]</w:t>
      </w:r>
    </w:p>
    <w:p>
      <w:pPr>
        <w:spacing w:after="4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9090B" w:sz="12"/>
              <w:left w:val="single" w:color="A1A1AA" w:sz="4"/>
              <w:bottom w:val="single" w:color="A1A1AA" w:sz="4"/>
              <w:right w:val="single" w:color="A1A1AA" w:sz="4"/>
            </w:tcBorders>
            <w:shd w:fill="F7F9C4" w:color="auto" w:val="clear"/>
            <w:tcMar>
              <w:top w:type="dxa" w:w="160"/>
              <w:left w:type="dxa" w:w="200"/>
              <w:bottom w:type="dxa" w:w="160"/>
              <w:right w:type="dxa" w:w="200"/>
            </w:tcMar>
          </w:tcPr>
          <w:p>
            <w:pPr>
              <w:spacing w:after="100"/>
            </w:pPr>
            <w:r>
              <w:rPr>
                <w:rFonts w:ascii="Arial" w:cs="Arial" w:eastAsia="Arial" w:hAnsi="Arial"/>
                <w:b/>
                <w:bCs/>
              </w:rPr>
              <w:t xml:space="preserve">Cómo usar esta plantilla</w:t>
            </w:r>
          </w:p>
          <w:p>
            <w:pPr>
              <w:spacing w:after="100"/>
            </w:pPr>
            <w:r>
              <w:rPr>
                <w:rFonts w:ascii="Arial" w:cs="Arial" w:eastAsia="Arial" w:hAnsi="Arial"/>
                <w:sz w:val="20"/>
                <w:szCs w:val="20"/>
              </w:rPr>
              <w:t xml:space="preserve">Reemplaza todo el texto resaltado en amarillo entre </w:t>
            </w:r>
            <w:r>
              <w:rPr>
                <w:rFonts w:ascii="Arial" w:cs="Arial" w:eastAsia="Arial" w:hAnsi="Arial"/>
                <w:sz w:val="20"/>
                <w:szCs w:val="20"/>
                <w:highlight w:val="yellow"/>
              </w:rPr>
              <w:t xml:space="preserve">[corchetes]</w:t>
            </w:r>
            <w:r>
              <w:rPr>
                <w:rFonts w:ascii="Arial" w:cs="Arial" w:eastAsia="Arial" w:hAnsi="Arial"/>
                <w:sz w:val="20"/>
                <w:szCs w:val="20"/>
              </w:rPr>
              <w:t xml:space="preserve"> con la información de tu empresa y borra lo que no aplique. Elimina este recuadro antes de publicar la versión final.</w:t>
            </w:r>
          </w:p>
          <w:p>
            <w:r>
              <w:rPr>
                <w:rFonts w:ascii="Arial" w:cs="Arial" w:eastAsia="Arial" w:hAnsi="Arial"/>
                <w:i/>
                <w:iCs/>
                <w:color w:val="52525B"/>
                <w:sz w:val="18"/>
                <w:szCs w:val="18"/>
              </w:rPr>
              <w:t xml:space="preserve">Plantilla orientativa, no constituye asesoría legal. Ajústala a tu sector, a tu política de tratamiento de datos personales vigente y revísala con un abogado. Versión de la plantilla: octubre de 2026. Fuente: cristianparada.com/plantillas</w:t>
            </w:r>
          </w:p>
        </w:tc>
      </w:tr>
    </w:tbl>
    <w:p>
      <w:r>
        <w:br w:type="page"/>
      </w:r>
    </w:p>
    <w:p>
      <w:pPr>
        <w:spacing w:after="200"/>
      </w:pPr>
      <w:r>
        <w:rPr>
          <w:rFonts w:ascii="Arial" w:cs="Arial" w:eastAsia="Arial" w:hAnsi="Arial"/>
          <w:b/>
          <w:bCs/>
          <w:sz w:val="32"/>
          <w:szCs w:val="32"/>
        </w:rPr>
        <w:t xml:space="preserve">Contenido</w:t>
      </w:r>
    </w:p>
    <w:sdt>
      <w:sdtPr>
        <w:alias w:val="Contenido"/>
      </w:sdtPr>
      <w:sdtContent>
        <w:p>
          <w:pPr>
            <w:pStyle w:val="TOC1"/>
            <w:tabs>
              <w:tab w:val="right" w:pos="9026" w:leader="dot"/>
            </w:tabs>
          </w:pPr>
          <w:r>
            <w:fldChar w:fldCharType="begin" w:dirty="true"/>
            <w:instrText xml:space="preserve">TOC \h \o "1-1"</w:instrText>
            <w:fldChar w:fldCharType="separate"/>
          </w:r>
          <w:hyperlink w:history="1" w:anchor="_Toc1">
            <w:r>
              <w:t xml:space="preserve">1. Objetivo y alcance</w:t>
            </w:r>
            <w:r>
              <w:tab/>
            </w:r>
            <w:r>
              <w:fldChar w:fldCharType="begin" w:dirty="true"/>
              <w:instrText xml:space="preserve">PAGEREF _Toc1 \h</w:instrText>
              <w:fldChar w:fldCharType="separate"/>
              <w:fldChar w:fldCharType="end"/>
            </w:r>
          </w:hyperlink>
        </w:p>
        <w:p>
          <w:pPr>
            <w:pStyle w:val="TOC1"/>
            <w:tabs>
              <w:tab w:val="right" w:pos="9026" w:leader="dot"/>
            </w:tabs>
          </w:pPr>
          <w:hyperlink w:history="1" w:anchor="_Toc2">
            <w:r>
              <w:t xml:space="preserve">2. Definiciones</w:t>
            </w:r>
            <w:r>
              <w:tab/>
            </w:r>
            <w:r>
              <w:fldChar w:fldCharType="begin" w:dirty="true"/>
              <w:instrText xml:space="preserve">PAGEREF _Toc2 \h</w:instrText>
              <w:fldChar w:fldCharType="separate"/>
              <w:fldChar w:fldCharType="end"/>
            </w:r>
          </w:hyperlink>
        </w:p>
        <w:p>
          <w:pPr>
            <w:pStyle w:val="TOC1"/>
            <w:tabs>
              <w:tab w:val="right" w:pos="9026" w:leader="dot"/>
            </w:tabs>
          </w:pPr>
          <w:hyperlink w:history="1" w:anchor="_Toc3">
            <w:r>
              <w:t xml:space="preserve">3. Principios de uso</w:t>
            </w:r>
            <w:r>
              <w:tab/>
            </w:r>
            <w:r>
              <w:fldChar w:fldCharType="begin" w:dirty="true"/>
              <w:instrText xml:space="preserve">PAGEREF _Toc3 \h</w:instrText>
              <w:fldChar w:fldCharType="separate"/>
              <w:fldChar w:fldCharType="end"/>
            </w:r>
          </w:hyperlink>
        </w:p>
        <w:p>
          <w:pPr>
            <w:pStyle w:val="TOC1"/>
            <w:tabs>
              <w:tab w:val="right" w:pos="9026" w:leader="dot"/>
            </w:tabs>
          </w:pPr>
          <w:hyperlink w:history="1" w:anchor="_Toc4">
            <w:r>
              <w:t xml:space="preserve">4. Herramientas permitidas</w:t>
            </w:r>
            <w:r>
              <w:tab/>
            </w:r>
            <w:r>
              <w:fldChar w:fldCharType="begin" w:dirty="true"/>
              <w:instrText xml:space="preserve">PAGEREF _Toc4 \h</w:instrText>
              <w:fldChar w:fldCharType="separate"/>
              <w:fldChar w:fldCharType="end"/>
            </w:r>
          </w:hyperlink>
        </w:p>
        <w:p>
          <w:pPr>
            <w:pStyle w:val="TOC1"/>
            <w:tabs>
              <w:tab w:val="right" w:pos="9026" w:leader="dot"/>
            </w:tabs>
          </w:pPr>
          <w:hyperlink w:history="1" w:anchor="_Toc5">
            <w:r>
              <w:t xml:space="preserve">5. Información que no se puede ingresar</w:t>
            </w:r>
            <w:r>
              <w:tab/>
            </w:r>
            <w:r>
              <w:fldChar w:fldCharType="begin" w:dirty="true"/>
              <w:instrText xml:space="preserve">PAGEREF _Toc5 \h</w:instrText>
              <w:fldChar w:fldCharType="separate"/>
              <w:fldChar w:fldCharType="end"/>
            </w:r>
          </w:hyperlink>
        </w:p>
        <w:p>
          <w:pPr>
            <w:pStyle w:val="TOC1"/>
            <w:tabs>
              <w:tab w:val="right" w:pos="9026" w:leader="dot"/>
            </w:tabs>
          </w:pPr>
          <w:hyperlink w:history="1" w:anchor="_Toc6">
            <w:r>
              <w:t xml:space="preserve">6. Tratamiento de datos personales (Ley 1581 de 2012)</w:t>
            </w:r>
            <w:r>
              <w:tab/>
            </w:r>
            <w:r>
              <w:fldChar w:fldCharType="begin" w:dirty="true"/>
              <w:instrText xml:space="preserve">PAGEREF _Toc6 \h</w:instrText>
              <w:fldChar w:fldCharType="separate"/>
              <w:fldChar w:fldCharType="end"/>
            </w:r>
          </w:hyperlink>
        </w:p>
        <w:p>
          <w:pPr>
            <w:pStyle w:val="TOC1"/>
            <w:tabs>
              <w:tab w:val="right" w:pos="9026" w:leader="dot"/>
            </w:tabs>
          </w:pPr>
          <w:hyperlink w:history="1" w:anchor="_Toc7">
            <w:r>
              <w:t xml:space="preserve">7. Propiedad intelectual y confidencialidad</w:t>
            </w:r>
            <w:r>
              <w:tab/>
            </w:r>
            <w:r>
              <w:fldChar w:fldCharType="begin" w:dirty="true"/>
              <w:instrText xml:space="preserve">PAGEREF _Toc7 \h</w:instrText>
              <w:fldChar w:fldCharType="separate"/>
              <w:fldChar w:fldCharType="end"/>
            </w:r>
          </w:hyperlink>
        </w:p>
        <w:p>
          <w:pPr>
            <w:pStyle w:val="TOC1"/>
            <w:tabs>
              <w:tab w:val="right" w:pos="9026" w:leader="dot"/>
            </w:tabs>
          </w:pPr>
          <w:hyperlink w:history="1" w:anchor="_Toc8">
            <w:r>
              <w:t xml:space="preserve">8. Revisión humana</w:t>
            </w:r>
            <w:r>
              <w:tab/>
            </w:r>
            <w:r>
              <w:fldChar w:fldCharType="begin" w:dirty="true"/>
              <w:instrText xml:space="preserve">PAGEREF _Toc8 \h</w:instrText>
              <w:fldChar w:fldCharType="separate"/>
              <w:fldChar w:fldCharType="end"/>
            </w:r>
          </w:hyperlink>
        </w:p>
        <w:p>
          <w:pPr>
            <w:pStyle w:val="TOC1"/>
            <w:tabs>
              <w:tab w:val="right" w:pos="9026" w:leader="dot"/>
            </w:tabs>
          </w:pPr>
          <w:hyperlink w:history="1" w:anchor="_Toc9">
            <w:r>
              <w:t xml:space="preserve">9. Transparencia y seguridad de las cuentas</w:t>
            </w:r>
            <w:r>
              <w:tab/>
            </w:r>
            <w:r>
              <w:fldChar w:fldCharType="begin" w:dirty="true"/>
              <w:instrText xml:space="preserve">PAGEREF _Toc9 \h</w:instrText>
              <w:fldChar w:fldCharType="separate"/>
              <w:fldChar w:fldCharType="end"/>
            </w:r>
          </w:hyperlink>
        </w:p>
        <w:p>
          <w:pPr>
            <w:pStyle w:val="TOC1"/>
            <w:tabs>
              <w:tab w:val="right" w:pos="9026" w:leader="dot"/>
            </w:tabs>
          </w:pPr>
          <w:hyperlink w:history="1" w:anchor="_Toc10">
            <w:r>
              <w:t xml:space="preserve">10. Incidentes</w:t>
            </w:r>
            <w:r>
              <w:tab/>
            </w:r>
            <w:r>
              <w:fldChar w:fldCharType="begin" w:dirty="true"/>
              <w:instrText xml:space="preserve">PAGEREF _Toc10 \h</w:instrText>
              <w:fldChar w:fldCharType="separate"/>
              <w:fldChar w:fldCharType="end"/>
            </w:r>
          </w:hyperlink>
        </w:p>
        <w:p>
          <w:pPr>
            <w:pStyle w:val="TOC1"/>
            <w:tabs>
              <w:tab w:val="right" w:pos="9026" w:leader="dot"/>
            </w:tabs>
          </w:pPr>
          <w:hyperlink w:history="1" w:anchor="_Toc11">
            <w:r>
              <w:t xml:space="preserve">11. Roles y responsables</w:t>
            </w:r>
            <w:r>
              <w:tab/>
            </w:r>
            <w:r>
              <w:fldChar w:fldCharType="begin" w:dirty="true"/>
              <w:instrText xml:space="preserve">PAGEREF _Toc11 \h</w:instrText>
              <w:fldChar w:fldCharType="separate"/>
              <w:fldChar w:fldCharType="end"/>
            </w:r>
          </w:hyperlink>
        </w:p>
        <w:p>
          <w:pPr>
            <w:pStyle w:val="TOC1"/>
            <w:tabs>
              <w:tab w:val="right" w:pos="9026" w:leader="dot"/>
            </w:tabs>
          </w:pPr>
          <w:hyperlink w:history="1" w:anchor="_Toc12">
            <w:r>
              <w:t xml:space="preserve">12. Capacitación</w:t>
            </w:r>
            <w:r>
              <w:tab/>
            </w:r>
            <w:r>
              <w:fldChar w:fldCharType="begin" w:dirty="true"/>
              <w:instrText xml:space="preserve">PAGEREF _Toc12 \h</w:instrText>
              <w:fldChar w:fldCharType="separate"/>
              <w:fldChar w:fldCharType="end"/>
            </w:r>
          </w:hyperlink>
        </w:p>
        <w:p>
          <w:pPr>
            <w:pStyle w:val="TOC1"/>
            <w:tabs>
              <w:tab w:val="right" w:pos="9026" w:leader="dot"/>
            </w:tabs>
          </w:pPr>
          <w:hyperlink w:history="1" w:anchor="_Toc13">
            <w:r>
              <w:t xml:space="preserve">13. Incumplimiento</w:t>
            </w:r>
            <w:r>
              <w:tab/>
            </w:r>
            <w:r>
              <w:fldChar w:fldCharType="begin" w:dirty="true"/>
              <w:instrText xml:space="preserve">PAGEREF _Toc13 \h</w:instrText>
              <w:fldChar w:fldCharType="separate"/>
              <w:fldChar w:fldCharType="end"/>
            </w:r>
          </w:hyperlink>
        </w:p>
        <w:p>
          <w:pPr>
            <w:pStyle w:val="TOC1"/>
            <w:tabs>
              <w:tab w:val="right" w:pos="9026" w:leader="dot"/>
            </w:tabs>
          </w:pPr>
          <w:hyperlink w:history="1" w:anchor="_Toc14">
            <w:r>
              <w:t xml:space="preserve">14. Vigencia y revisión</w:t>
            </w:r>
            <w:r>
              <w:tab/>
            </w:r>
            <w:r>
              <w:fldChar w:fldCharType="begin" w:dirty="true"/>
              <w:instrText xml:space="preserve">PAGEREF _Toc14 \h</w:instrText>
              <w:fldChar w:fldCharType="separate"/>
              <w:fldChar w:fldCharType="end"/>
            </w:r>
          </w:hyperlink>
        </w:p>
        <w:p>
          <w:pPr>
            <w:pStyle w:val="TOC1"/>
            <w:tabs>
              <w:tab w:val="right" w:pos="9026" w:leader="dot"/>
            </w:tabs>
          </w:pPr>
          <w:hyperlink w:history="1" w:anchor="_Toc15">
            <w:r>
              <w:t xml:space="preserve">Anexo A. Registro de herramientas aprobadas</w:t>
            </w:r>
            <w:r>
              <w:tab/>
            </w:r>
            <w:r>
              <w:fldChar w:fldCharType="begin" w:dirty="true"/>
              <w:instrText xml:space="preserve">PAGEREF _Toc15 \h</w:instrText>
              <w:fldChar w:fldCharType="separate"/>
              <w:fldChar w:fldCharType="end"/>
            </w:r>
          </w:hyperlink>
        </w:p>
        <w:p>
          <w:pPr>
            <w:pStyle w:val="TOC1"/>
            <w:tabs>
              <w:tab w:val="right" w:pos="9026" w:leader="dot"/>
            </w:tabs>
          </w:pPr>
          <w:hyperlink w:history="1" w:anchor="_Toc16">
            <w:r>
              <w:t xml:space="preserve">Anexo B. Compromiso del colaborador</w:t>
            </w:r>
            <w:r>
              <w:tab/>
            </w:r>
            <w:r>
              <w:fldChar w:fldCharType="begin" w:dirty="true"/>
              <w:instrText xml:space="preserve">PAGEREF _Toc16 \h</w:instrText>
              <w:fldChar w:fldCharType="separate"/>
              <w:fldChar w:fldCharType="end"/>
            </w:r>
          </w:hyperlink>
        </w:p>
        <w:p>
          <w:r>
            <w:fldChar w:fldCharType="end"/>
          </w:r>
        </w:p>
      </w:sdtContent>
    </w:sdt>
    <w:p>
      <w:pPr>
        <w:spacing w:after="140" w:line="300"/>
      </w:pPr>
      <w:r>
        <w:rPr>
          <w:rFonts w:ascii="Arial" w:cs="Arial" w:eastAsia="Arial" w:hAnsi="Arial"/>
          <w:i/>
          <w:iCs/>
          <w:color w:val="52525B"/>
          <w:sz w:val="18"/>
          <w:szCs w:val="18"/>
        </w:rPr>
        <w:t xml:space="preserve">Si el índice aparece vacío, haz clic derecho sobre él y elige “Actualizar campo”.</w:t>
      </w:r>
    </w:p>
    <w:p>
      <w:r>
        <w:br w:type="page"/>
      </w:r>
    </w:p>
    <w:p>
      <w:pPr>
        <w:pStyle w:val="Heading1"/>
      </w:pPr>
      <w:bookmarkStart w:name="_Toc1" w:id="1"/>
      <w:r>
        <w:rPr>
          <w:rFonts w:ascii="Arial" w:cs="Arial" w:eastAsia="Arial" w:hAnsi="Arial"/>
        </w:rPr>
        <w:t xml:space="preserve">1. Objetivo y alcance</w:t>
      </w:r>
      <w:bookmarkEnd w:id="1"/>
    </w:p>
    <w:p>
      <w:pPr>
        <w:spacing w:after="140" w:line="300"/>
      </w:pPr>
      <w:r>
        <w:rPr>
          <w:rFonts w:ascii="Arial" w:cs="Arial" w:eastAsia="Arial" w:hAnsi="Arial"/>
        </w:rPr>
        <w:t xml:space="preserve">Esta política establece las reglas para usar herramientas de inteligencia artificial (IA) en </w:t>
      </w:r>
      <w:r>
        <w:rPr>
          <w:rFonts w:ascii="Arial" w:cs="Arial" w:eastAsia="Arial" w:hAnsi="Arial"/>
          <w:highlight w:val="yellow"/>
        </w:rPr>
        <w:t xml:space="preserve">[NOMBRE DE LA EMPRESA]</w:t>
      </w:r>
      <w:r>
        <w:rPr>
          <w:rFonts w:ascii="Arial" w:cs="Arial" w:eastAsia="Arial" w:hAnsi="Arial"/>
        </w:rPr>
        <w:t xml:space="preserve"> de forma productiva, segura y conforme a la ley. Busca aprovechar la IA para trabajar mejor, protegiendo la información de la empresa, de sus clientes y de sus colaboradores.</w:t>
      </w:r>
    </w:p>
    <w:p>
      <w:pPr>
        <w:spacing w:after="140" w:line="300"/>
      </w:pPr>
      <w:r>
        <w:rPr>
          <w:rFonts w:ascii="Arial" w:cs="Arial" w:eastAsia="Arial" w:hAnsi="Arial"/>
        </w:rPr>
        <w:t xml:space="preserve">Aplica a todas las personas que trabajan para la empresa o en su nombre: empleados, practicantes, contratistas y proveedores con acceso a información interna, en cualquier dispositivo (propio o de la empresa) y en cualquier herramienta de IA, sea gratuita o de pago, independiente o integrada en otro software.</w:t>
      </w:r>
    </w:p>
    <w:p>
      <w:pPr>
        <w:pStyle w:val="Heading1"/>
      </w:pPr>
      <w:bookmarkStart w:name="_Toc2" w:id="2"/>
      <w:r>
        <w:rPr>
          <w:rFonts w:ascii="Arial" w:cs="Arial" w:eastAsia="Arial" w:hAnsi="Arial"/>
        </w:rPr>
        <w:t xml:space="preserve">2. Definiciones</w:t>
      </w:r>
      <w:bookmarkEnd w:id="2"/>
    </w:p>
    <w:p>
      <w:pPr>
        <w:pStyle w:val="ListParagraph"/>
        <w:numPr>
          <w:ilvl w:val="0"/>
          <w:numId w:val="2"/>
        </w:numPr>
        <w:spacing w:after="80" w:line="290"/>
      </w:pPr>
      <w:r>
        <w:rPr>
          <w:rFonts w:ascii="Arial" w:cs="Arial" w:eastAsia="Arial" w:hAnsi="Arial"/>
        </w:rPr>
        <w:t xml:space="preserve">Inteligencia artificial generativa: herramientas que producen texto, imágenes, audio, video o código a partir de instrucciones, como asistentes de chat, generadores de imágenes o funciones de IA dentro de programas de oficina.</w:t>
      </w:r>
    </w:p>
    <w:p>
      <w:pPr>
        <w:pStyle w:val="ListParagraph"/>
        <w:numPr>
          <w:ilvl w:val="0"/>
          <w:numId w:val="2"/>
        </w:numPr>
        <w:spacing w:after="80" w:line="290"/>
      </w:pPr>
      <w:r>
        <w:rPr>
          <w:rFonts w:ascii="Arial" w:cs="Arial" w:eastAsia="Arial" w:hAnsi="Arial"/>
        </w:rPr>
        <w:t xml:space="preserve">Herramienta aprobada: herramienta de IA registrada en el anexo A, con el plan y los usos autorizados por la empresa.</w:t>
      </w:r>
    </w:p>
    <w:p>
      <w:pPr>
        <w:pStyle w:val="ListParagraph"/>
        <w:numPr>
          <w:ilvl w:val="0"/>
          <w:numId w:val="2"/>
        </w:numPr>
        <w:spacing w:after="80" w:line="290"/>
      </w:pPr>
      <w:r>
        <w:rPr>
          <w:rFonts w:ascii="Arial" w:cs="Arial" w:eastAsia="Arial" w:hAnsi="Arial"/>
        </w:rPr>
        <w:t xml:space="preserve">Dato personal: cualquier información vinculada o que pueda asociarse a una o varias personas naturales determinadas o determinables (Ley 1581 de 2012, artículo 3).</w:t>
      </w:r>
    </w:p>
    <w:p>
      <w:pPr>
        <w:pStyle w:val="ListParagraph"/>
        <w:numPr>
          <w:ilvl w:val="0"/>
          <w:numId w:val="2"/>
        </w:numPr>
        <w:spacing w:after="80" w:line="290"/>
      </w:pPr>
      <w:r>
        <w:rPr>
          <w:rFonts w:ascii="Arial" w:cs="Arial" w:eastAsia="Arial" w:hAnsi="Arial"/>
        </w:rPr>
        <w:t xml:space="preserve">Dato sensible: datos que afectan la intimidad del titular o cuyo uso indebido puede generar discriminación, como los relativos a la salud, la vida sexual, los datos biométricos, el origen racial o étnico, la orientación política, las convicciones religiosas o filosóficas y la pertenencia a sindicatos u organizaciones sociales (Ley 1581 de 2012, artículo 5).</w:t>
      </w:r>
    </w:p>
    <w:p>
      <w:pPr>
        <w:pStyle w:val="ListParagraph"/>
        <w:numPr>
          <w:ilvl w:val="0"/>
          <w:numId w:val="2"/>
        </w:numPr>
        <w:spacing w:after="80" w:line="290"/>
      </w:pPr>
      <w:r>
        <w:rPr>
          <w:rFonts w:ascii="Arial" w:cs="Arial" w:eastAsia="Arial" w:hAnsi="Arial"/>
        </w:rPr>
        <w:t xml:space="preserve">Información confidencial: información de la empresa que no es pública y cuya divulgación podría causar daño, como estados financieros no publicados, precios, márgenes, contratos, estrategias, código fuente y secretos empresariales.</w:t>
      </w:r>
    </w:p>
    <w:p>
      <w:pPr>
        <w:pStyle w:val="ListParagraph"/>
        <w:numPr>
          <w:ilvl w:val="0"/>
          <w:numId w:val="2"/>
        </w:numPr>
        <w:spacing w:after="80" w:line="290"/>
      </w:pPr>
      <w:r>
        <w:rPr>
          <w:rFonts w:ascii="Arial" w:cs="Arial" w:eastAsia="Arial" w:hAnsi="Arial"/>
        </w:rPr>
        <w:t xml:space="preserve">Responsable de IA: persona designada en la sección 11 para coordinar la aplicación de esta política.</w:t>
      </w:r>
    </w:p>
    <w:p>
      <w:pPr>
        <w:pStyle w:val="Heading1"/>
      </w:pPr>
      <w:bookmarkStart w:name="_Toc3" w:id="3"/>
      <w:r>
        <w:rPr>
          <w:rFonts w:ascii="Arial" w:cs="Arial" w:eastAsia="Arial" w:hAnsi="Arial"/>
        </w:rPr>
        <w:t xml:space="preserve">3. Principios de uso</w:t>
      </w:r>
      <w:bookmarkEnd w:id="3"/>
    </w:p>
    <w:p>
      <w:pPr>
        <w:pStyle w:val="ListParagraph"/>
        <w:numPr>
          <w:ilvl w:val="0"/>
          <w:numId w:val="2"/>
        </w:numPr>
        <w:spacing w:after="80" w:line="290"/>
      </w:pPr>
      <w:r>
        <w:rPr>
          <w:rFonts w:ascii="Arial" w:cs="Arial" w:eastAsia="Arial" w:hAnsi="Arial"/>
        </w:rPr>
        <w:t xml:space="preserve">La IA asiste, la persona decide. Quien usa una herramienta de IA es responsable del resultado que entrega, como si lo hubiera hecho sin ayuda.</w:t>
      </w:r>
    </w:p>
    <w:p>
      <w:pPr>
        <w:pStyle w:val="ListParagraph"/>
        <w:numPr>
          <w:ilvl w:val="0"/>
          <w:numId w:val="2"/>
        </w:numPr>
        <w:spacing w:after="80" w:line="290"/>
      </w:pPr>
      <w:r>
        <w:rPr>
          <w:rFonts w:ascii="Arial" w:cs="Arial" w:eastAsia="Arial" w:hAnsi="Arial"/>
        </w:rPr>
        <w:t xml:space="preserve">Mínimo necesario. Solo se ingresa la información indispensable para la tarea.</w:t>
      </w:r>
    </w:p>
    <w:p>
      <w:pPr>
        <w:pStyle w:val="ListParagraph"/>
        <w:numPr>
          <w:ilvl w:val="0"/>
          <w:numId w:val="2"/>
        </w:numPr>
        <w:spacing w:after="80" w:line="290"/>
      </w:pPr>
      <w:r>
        <w:rPr>
          <w:rFonts w:ascii="Arial" w:cs="Arial" w:eastAsia="Arial" w:hAnsi="Arial"/>
        </w:rPr>
        <w:t xml:space="preserve">Verificar antes de usar. Los resultados de la IA pueden contener errores o datos inventados.</w:t>
      </w:r>
    </w:p>
    <w:p>
      <w:pPr>
        <w:pStyle w:val="ListParagraph"/>
        <w:numPr>
          <w:ilvl w:val="0"/>
          <w:numId w:val="2"/>
        </w:numPr>
        <w:spacing w:after="80" w:line="290"/>
      </w:pPr>
      <w:r>
        <w:rPr>
          <w:rFonts w:ascii="Arial" w:cs="Arial" w:eastAsia="Arial" w:hAnsi="Arial"/>
        </w:rPr>
        <w:t xml:space="preserve">Transparencia. No se usa la IA para engañar a clientes, colaboradores ni terceros.</w:t>
      </w:r>
    </w:p>
    <w:p>
      <w:pPr>
        <w:pStyle w:val="ListParagraph"/>
        <w:numPr>
          <w:ilvl w:val="0"/>
          <w:numId w:val="2"/>
        </w:numPr>
        <w:spacing w:after="80" w:line="290"/>
      </w:pPr>
      <w:r>
        <w:rPr>
          <w:rFonts w:ascii="Arial" w:cs="Arial" w:eastAsia="Arial" w:hAnsi="Arial"/>
        </w:rPr>
        <w:t xml:space="preserve">Respeto a las personas. No se usa la IA para tomar por sí sola decisiones que afecten a una persona.</w:t>
      </w:r>
    </w:p>
    <w:p>
      <w:pPr>
        <w:pStyle w:val="Heading1"/>
      </w:pPr>
      <w:bookmarkStart w:name="_Toc4" w:id="4"/>
      <w:r>
        <w:rPr>
          <w:rFonts w:ascii="Arial" w:cs="Arial" w:eastAsia="Arial" w:hAnsi="Arial"/>
        </w:rPr>
        <w:t xml:space="preserve">4. Herramientas permitidas</w:t>
      </w:r>
      <w:bookmarkEnd w:id="4"/>
    </w:p>
    <w:p>
      <w:pPr>
        <w:spacing w:after="140" w:line="300"/>
      </w:pPr>
      <w:r>
        <w:rPr>
          <w:rFonts w:ascii="Arial" w:cs="Arial" w:eastAsia="Arial" w:hAnsi="Arial"/>
        </w:rPr>
        <w:t xml:space="preserve">Solo se pueden usar con información de la empresa las herramientas registradas en el anexo A, con la cuenta corporativa y en el plan indicado. La siguiente tabla resume las herramientas aprobadas a la fecha: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00"/>
        <w:gridCol w:w="1700"/>
        <w:gridCol w:w="3326"/>
        <w:gridCol w:w="1900"/>
      </w:tblGrid>
      <w:tr>
        <w:trPr>
          <w:tblHeader/>
        </w:trPr>
        <w:tc>
          <w:tcPr>
            <w:tcW w:type="dxa" w:w="2100"/>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Herramienta</w:t>
            </w:r>
          </w:p>
        </w:tc>
        <w:tc>
          <w:tcPr>
            <w:tcW w:type="dxa" w:w="1700"/>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Plan o versión</w:t>
            </w:r>
          </w:p>
        </w:tc>
        <w:tc>
          <w:tcPr>
            <w:tcW w:type="dxa" w:w="3326"/>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Usos permitidos</w:t>
            </w:r>
          </w:p>
        </w:tc>
        <w:tc>
          <w:tcPr>
            <w:tcW w:type="dxa" w:w="1900"/>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Nivel máximo de información</w:t>
            </w:r>
          </w:p>
        </w:tc>
      </w:tr>
      <w:tr>
        <w:tc>
          <w:tcPr>
            <w:tcW w:type="dxa" w:w="21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[Nombre de la herramienta 1]</w:t>
            </w:r>
          </w:p>
        </w:tc>
        <w:tc>
          <w:tcPr>
            <w:tcW w:type="dxa" w:w="17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[Plan empresarial]</w:t>
            </w:r>
          </w:p>
        </w:tc>
        <w:tc>
          <w:tcPr>
            <w:tcW w:type="dxa" w:w="33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[Redacción, resúmenes, análisis de documentos internos]</w:t>
            </w:r>
          </w:p>
        </w:tc>
        <w:tc>
          <w:tcPr>
            <w:tcW w:type="dxa" w:w="19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[Interna]</w:t>
            </w:r>
          </w:p>
        </w:tc>
      </w:tr>
      <w:tr>
        <w:tc>
          <w:tcPr>
            <w:tcW w:type="dxa" w:w="21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[Nombre de la herramienta 2]</w:t>
            </w:r>
          </w:p>
        </w:tc>
        <w:tc>
          <w:tcPr>
            <w:tcW w:type="dxa" w:w="17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[Plan]</w:t>
            </w:r>
          </w:p>
        </w:tc>
        <w:tc>
          <w:tcPr>
            <w:tcW w:type="dxa" w:w="33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[Asistente dentro de correo y documentos]</w:t>
            </w:r>
          </w:p>
        </w:tc>
        <w:tc>
          <w:tcPr>
            <w:tcW w:type="dxa" w:w="19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[Confidencial]</w:t>
            </w:r>
          </w:p>
        </w:tc>
      </w:tr>
      <w:tr>
        <w:tc>
          <w:tcPr>
            <w:tcW w:type="dxa" w:w="21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[Nombre de la herramienta 3]</w:t>
            </w:r>
          </w:p>
        </w:tc>
        <w:tc>
          <w:tcPr>
            <w:tcW w:type="dxa" w:w="17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[Gratuita]</w:t>
            </w:r>
          </w:p>
        </w:tc>
        <w:tc>
          <w:tcPr>
            <w:tcW w:type="dxa" w:w="33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[Solo información pública: ideas, textos de marketing]</w:t>
            </w:r>
          </w:p>
        </w:tc>
        <w:tc>
          <w:tcPr>
            <w:tcW w:type="dxa" w:w="19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[Pública]</w:t>
            </w:r>
          </w:p>
        </w:tc>
      </w:tr>
    </w:tbl>
    <w:p>
      <w:pPr>
        <w:spacing w:after="120"/>
      </w:pPr>
    </w:p>
    <w:p>
      <w:pPr>
        <w:pStyle w:val="Heading2"/>
      </w:pPr>
      <w:r>
        <w:rPr>
          <w:rFonts w:ascii="Arial" w:cs="Arial" w:eastAsia="Arial" w:hAnsi="Arial"/>
        </w:rPr>
        <w:t xml:space="preserve">4.1 Solicitud de herramientas nuevas</w:t>
      </w:r>
    </w:p>
    <w:p>
      <w:pPr>
        <w:spacing w:after="140" w:line="300"/>
      </w:pPr>
      <w:r>
        <w:rPr>
          <w:rFonts w:ascii="Arial" w:cs="Arial" w:eastAsia="Arial" w:hAnsi="Arial"/>
        </w:rPr>
        <w:t xml:space="preserve">Quien quiera usar una herramienta que no está aprobada debe enviar la solicitud a </w:t>
      </w:r>
      <w:r>
        <w:rPr>
          <w:rFonts w:ascii="Arial" w:cs="Arial" w:eastAsia="Arial" w:hAnsi="Arial"/>
          <w:highlight w:val="yellow"/>
        </w:rPr>
        <w:t xml:space="preserve">[correo o canal interno]</w:t>
      </w:r>
      <w:r>
        <w:rPr>
          <w:rFonts w:ascii="Arial" w:cs="Arial" w:eastAsia="Arial" w:hAnsi="Arial"/>
        </w:rPr>
        <w:t xml:space="preserve"> indicando para qué la necesita y qué información usaría. El responsable de IA, con apoyo de </w:t>
      </w:r>
      <w:r>
        <w:rPr>
          <w:rFonts w:ascii="Arial" w:cs="Arial" w:eastAsia="Arial" w:hAnsi="Arial"/>
          <w:highlight w:val="yellow"/>
        </w:rPr>
        <w:t xml:space="preserve">[TI / seguridad de la información]</w:t>
      </w:r>
      <w:r>
        <w:rPr>
          <w:rFonts w:ascii="Arial" w:cs="Arial" w:eastAsia="Arial" w:hAnsi="Arial"/>
        </w:rPr>
        <w:t xml:space="preserve">, revisa al menos:</w:t>
      </w:r>
    </w:p>
    <w:p>
      <w:pPr>
        <w:pStyle w:val="ListParagraph"/>
        <w:numPr>
          <w:ilvl w:val="0"/>
          <w:numId w:val="2"/>
        </w:numPr>
        <w:spacing w:after="80" w:line="290"/>
      </w:pPr>
      <w:r>
        <w:rPr>
          <w:rFonts w:ascii="Arial" w:cs="Arial" w:eastAsia="Arial" w:hAnsi="Arial"/>
        </w:rPr>
        <w:t xml:space="preserve">Si la herramienta usa la información ingresada para entrenar sus modelos y si esa opción se puede desactivar.</w:t>
      </w:r>
    </w:p>
    <w:p>
      <w:pPr>
        <w:pStyle w:val="ListParagraph"/>
        <w:numPr>
          <w:ilvl w:val="0"/>
          <w:numId w:val="2"/>
        </w:numPr>
        <w:spacing w:after="80" w:line="290"/>
      </w:pPr>
      <w:r>
        <w:rPr>
          <w:rFonts w:ascii="Arial" w:cs="Arial" w:eastAsia="Arial" w:hAnsi="Arial"/>
        </w:rPr>
        <w:t xml:space="preserve">Dónde se almacenan y procesan los datos, y por cuánto tiempo se conservan.</w:t>
      </w:r>
    </w:p>
    <w:p>
      <w:pPr>
        <w:pStyle w:val="ListParagraph"/>
        <w:numPr>
          <w:ilvl w:val="0"/>
          <w:numId w:val="2"/>
        </w:numPr>
        <w:spacing w:after="80" w:line="290"/>
      </w:pPr>
      <w:r>
        <w:rPr>
          <w:rFonts w:ascii="Arial" w:cs="Arial" w:eastAsia="Arial" w:hAnsi="Arial"/>
        </w:rPr>
        <w:t xml:space="preserve">Si ofrece cuentas corporativas, control de acceso y verificación en dos pasos.</w:t>
      </w:r>
    </w:p>
    <w:p>
      <w:pPr>
        <w:pStyle w:val="ListParagraph"/>
        <w:numPr>
          <w:ilvl w:val="0"/>
          <w:numId w:val="2"/>
        </w:numPr>
        <w:spacing w:after="80" w:line="290"/>
      </w:pPr>
      <w:r>
        <w:rPr>
          <w:rFonts w:ascii="Arial" w:cs="Arial" w:eastAsia="Arial" w:hAnsi="Arial"/>
        </w:rPr>
        <w:t xml:space="preserve">Sus términos de uso sobre propiedad de los resultados y confidencialidad.</w:t>
      </w:r>
    </w:p>
    <w:p>
      <w:pPr>
        <w:spacing w:after="140" w:line="300"/>
      </w:pPr>
      <w:r>
        <w:rPr>
          <w:rFonts w:ascii="Arial" w:cs="Arial" w:eastAsia="Arial" w:hAnsi="Arial"/>
        </w:rPr>
        <w:t xml:space="preserve">La respuesta se da en un plazo máximo de </w:t>
      </w:r>
      <w:r>
        <w:rPr>
          <w:rFonts w:ascii="Arial" w:cs="Arial" w:eastAsia="Arial" w:hAnsi="Arial"/>
          <w:highlight w:val="yellow"/>
        </w:rPr>
        <w:t xml:space="preserve">[10]</w:t>
      </w:r>
      <w:r>
        <w:rPr>
          <w:rFonts w:ascii="Arial" w:cs="Arial" w:eastAsia="Arial" w:hAnsi="Arial"/>
        </w:rPr>
        <w:t xml:space="preserve"> días hábiles. Mientras tanto, la herramienta no se puede usar con información de la empresa.</w:t>
      </w:r>
    </w:p>
    <w:p>
      <w:pPr>
        <w:pStyle w:val="Heading2"/>
      </w:pPr>
      <w:r>
        <w:rPr>
          <w:rFonts w:ascii="Arial" w:cs="Arial" w:eastAsia="Arial" w:hAnsi="Arial"/>
        </w:rPr>
        <w:t xml:space="preserve">4.2 Usos prohibidos</w:t>
      </w:r>
    </w:p>
    <w:p>
      <w:pPr>
        <w:pStyle w:val="ListParagraph"/>
        <w:numPr>
          <w:ilvl w:val="0"/>
          <w:numId w:val="2"/>
        </w:numPr>
        <w:spacing w:after="80" w:line="290"/>
      </w:pPr>
      <w:r>
        <w:rPr>
          <w:rFonts w:ascii="Arial" w:cs="Arial" w:eastAsia="Arial" w:hAnsi="Arial"/>
        </w:rPr>
        <w:t xml:space="preserve">Usar cuentas personales o gratuitas para procesar información interna, confidencial o datos personales.</w:t>
      </w:r>
    </w:p>
    <w:p>
      <w:pPr>
        <w:pStyle w:val="ListParagraph"/>
        <w:numPr>
          <w:ilvl w:val="0"/>
          <w:numId w:val="2"/>
        </w:numPr>
        <w:spacing w:after="80" w:line="290"/>
      </w:pPr>
      <w:r>
        <w:rPr>
          <w:rFonts w:ascii="Arial" w:cs="Arial" w:eastAsia="Arial" w:hAnsi="Arial"/>
        </w:rPr>
        <w:t xml:space="preserve">Instalar extensiones, complementos o aplicaciones de IA que lean el correo, el navegador o los archivos sin aprobación.</w:t>
      </w:r>
    </w:p>
    <w:p>
      <w:pPr>
        <w:pStyle w:val="ListParagraph"/>
        <w:numPr>
          <w:ilvl w:val="0"/>
          <w:numId w:val="2"/>
        </w:numPr>
        <w:spacing w:after="80" w:line="290"/>
      </w:pPr>
      <w:r>
        <w:rPr>
          <w:rFonts w:ascii="Arial" w:cs="Arial" w:eastAsia="Arial" w:hAnsi="Arial"/>
        </w:rPr>
        <w:t xml:space="preserve">Conectar herramientas de IA a sistemas de la empresa (CRM, ERP, correo, unidades compartidas) sin autorización de </w:t>
      </w:r>
      <w:r>
        <w:rPr>
          <w:rFonts w:ascii="Arial" w:cs="Arial" w:eastAsia="Arial" w:hAnsi="Arial"/>
          <w:highlight w:val="yellow"/>
        </w:rPr>
        <w:t xml:space="preserve">[TI]</w:t>
      </w:r>
      <w:r>
        <w:rPr>
          <w:rFonts w:ascii="Arial" w:cs="Arial" w:eastAsia="Arial" w:hAnsi="Arial"/>
        </w:rPr>
        <w:t xml:space="preserve">.</w:t>
      </w:r>
    </w:p>
    <w:p>
      <w:pPr>
        <w:pStyle w:val="ListParagraph"/>
        <w:numPr>
          <w:ilvl w:val="0"/>
          <w:numId w:val="2"/>
        </w:numPr>
        <w:spacing w:after="80" w:line="290"/>
      </w:pPr>
      <w:r>
        <w:rPr>
          <w:rFonts w:ascii="Arial" w:cs="Arial" w:eastAsia="Arial" w:hAnsi="Arial"/>
        </w:rPr>
        <w:t xml:space="preserve">Generar contenido que suplante a una persona real, como voces o imágenes, sin su autorización expresa.</w:t>
      </w:r>
    </w:p>
    <w:p>
      <w:pPr>
        <w:pStyle w:val="Heading1"/>
      </w:pPr>
      <w:bookmarkStart w:name="_Toc5" w:id="5"/>
      <w:r>
        <w:rPr>
          <w:rFonts w:ascii="Arial" w:cs="Arial" w:eastAsia="Arial" w:hAnsi="Arial"/>
        </w:rPr>
        <w:t xml:space="preserve">5. Información que no se puede ingresar</w:t>
      </w:r>
      <w:bookmarkEnd w:id="5"/>
    </w:p>
    <w:p>
      <w:pPr>
        <w:spacing w:after="140" w:line="300"/>
      </w:pPr>
      <w:r>
        <w:rPr>
          <w:rFonts w:ascii="Arial" w:cs="Arial" w:eastAsia="Arial" w:hAnsi="Arial"/>
        </w:rPr>
        <w:t xml:space="preserve">Salvo que la herramienta esté aprobada expresamente para ese uso en el anexo A, ninguna persona puede ingresar en una herramienta de IA:</w:t>
      </w:r>
    </w:p>
    <w:p>
      <w:pPr>
        <w:pStyle w:val="ListParagraph"/>
        <w:numPr>
          <w:ilvl w:val="0"/>
          <w:numId w:val="2"/>
        </w:numPr>
        <w:spacing w:after="80" w:line="290"/>
      </w:pPr>
      <w:r>
        <w:rPr>
          <w:rFonts w:ascii="Arial" w:cs="Arial" w:eastAsia="Arial" w:hAnsi="Arial"/>
        </w:rPr>
        <w:t xml:space="preserve">Datos personales de clientes, colaboradores, proveedores o terceros que permitan identificarlos: nombres completos, números de identificación, correos, teléfonos, direcciones, fotografías.</w:t>
      </w:r>
    </w:p>
    <w:p>
      <w:pPr>
        <w:pStyle w:val="ListParagraph"/>
        <w:numPr>
          <w:ilvl w:val="0"/>
          <w:numId w:val="2"/>
        </w:numPr>
        <w:spacing w:after="80" w:line="290"/>
      </w:pPr>
      <w:r>
        <w:rPr>
          <w:rFonts w:ascii="Arial" w:cs="Arial" w:eastAsia="Arial" w:hAnsi="Arial"/>
        </w:rPr>
        <w:t xml:space="preserve">Datos sensibles de cualquier persona.</w:t>
      </w:r>
    </w:p>
    <w:p>
      <w:pPr>
        <w:pStyle w:val="ListParagraph"/>
        <w:numPr>
          <w:ilvl w:val="0"/>
          <w:numId w:val="2"/>
        </w:numPr>
        <w:spacing w:after="80" w:line="290"/>
      </w:pPr>
      <w:r>
        <w:rPr>
          <w:rFonts w:ascii="Arial" w:cs="Arial" w:eastAsia="Arial" w:hAnsi="Arial"/>
        </w:rPr>
        <w:t xml:space="preserve">Datos de niñas, niños y adolescentes.</w:t>
      </w:r>
    </w:p>
    <w:p>
      <w:pPr>
        <w:pStyle w:val="ListParagraph"/>
        <w:numPr>
          <w:ilvl w:val="0"/>
          <w:numId w:val="2"/>
        </w:numPr>
        <w:spacing w:after="80" w:line="290"/>
      </w:pPr>
      <w:r>
        <w:rPr>
          <w:rFonts w:ascii="Arial" w:cs="Arial" w:eastAsia="Arial" w:hAnsi="Arial"/>
        </w:rPr>
        <w:t xml:space="preserve">Contraseñas, llaves de API, certificados digitales o cualquier credencial de acceso.</w:t>
      </w:r>
    </w:p>
    <w:p>
      <w:pPr>
        <w:pStyle w:val="ListParagraph"/>
        <w:numPr>
          <w:ilvl w:val="0"/>
          <w:numId w:val="2"/>
        </w:numPr>
        <w:spacing w:after="80" w:line="290"/>
      </w:pPr>
      <w:r>
        <w:rPr>
          <w:rFonts w:ascii="Arial" w:cs="Arial" w:eastAsia="Arial" w:hAnsi="Arial"/>
        </w:rPr>
        <w:t xml:space="preserve">Números de cuenta bancaria, de tarjetas o información de pagos.</w:t>
      </w:r>
    </w:p>
    <w:p>
      <w:pPr>
        <w:pStyle w:val="ListParagraph"/>
        <w:numPr>
          <w:ilvl w:val="0"/>
          <w:numId w:val="2"/>
        </w:numPr>
        <w:spacing w:after="80" w:line="290"/>
      </w:pPr>
      <w:r>
        <w:rPr>
          <w:rFonts w:ascii="Arial" w:cs="Arial" w:eastAsia="Arial" w:hAnsi="Arial"/>
        </w:rPr>
        <w:t xml:space="preserve">Estados financieros no publicados, precios, márgenes, contratos, propuestas, estrategias y secretos empresariales.</w:t>
      </w:r>
    </w:p>
    <w:p>
      <w:pPr>
        <w:pStyle w:val="ListParagraph"/>
        <w:numPr>
          <w:ilvl w:val="0"/>
          <w:numId w:val="2"/>
        </w:numPr>
        <w:spacing w:after="80" w:line="290"/>
      </w:pPr>
      <w:r>
        <w:rPr>
          <w:rFonts w:ascii="Arial" w:cs="Arial" w:eastAsia="Arial" w:hAnsi="Arial"/>
        </w:rPr>
        <w:t xml:space="preserve">Información recibida de clientes o aliados bajo acuerdos de confidencialidad.</w:t>
      </w:r>
    </w:p>
    <w:p>
      <w:pPr>
        <w:spacing w:after="140" w:line="300"/>
      </w:pPr>
      <w:r>
        <w:rPr>
          <w:rFonts w:ascii="Arial" w:cs="Arial" w:eastAsia="Arial" w:hAnsi="Arial"/>
        </w:rPr>
        <w:t xml:space="preserve">Cuando la tarea lo requiera, la información debe anonimizarse antes: reemplazar nombres por códigos (“Cliente A”), eliminar identificadores y usar cifras agregadas.</w:t>
      </w:r>
    </w:p>
    <w:p>
      <w:pPr>
        <w:pStyle w:val="Heading2"/>
      </w:pPr>
      <w:r>
        <w:rPr>
          <w:rFonts w:ascii="Arial" w:cs="Arial" w:eastAsia="Arial" w:hAnsi="Arial"/>
        </w:rPr>
        <w:t xml:space="preserve">5.1 Clasificación de la información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00"/>
        <w:gridCol w:w="4026"/>
        <w:gridCol w:w="3300"/>
      </w:tblGrid>
      <w:tr>
        <w:trPr>
          <w:tblHeader/>
        </w:trPr>
        <w:tc>
          <w:tcPr>
            <w:tcW w:type="dxa" w:w="1700"/>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Nivel</w:t>
            </w:r>
          </w:p>
        </w:tc>
        <w:tc>
          <w:tcPr>
            <w:tcW w:type="dxa" w:w="4026"/>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Ejemplos</w:t>
            </w:r>
          </w:p>
        </w:tc>
        <w:tc>
          <w:tcPr>
            <w:tcW w:type="dxa" w:w="3300"/>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¿Se puede usar en IA?</w:t>
            </w:r>
          </w:p>
        </w:tc>
      </w:tr>
      <w:tr>
        <w:tc>
          <w:tcPr>
            <w:tcW w:type="dxa" w:w="17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Pública</w:t>
            </w:r>
          </w:p>
        </w:tc>
        <w:tc>
          <w:tcPr>
            <w:tcW w:type="dxa" w:w="40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Sitio web, catálogo publicado, comunicados de prensa</w:t>
            </w:r>
          </w:p>
        </w:tc>
        <w:tc>
          <w:tcPr>
            <w:tcW w:type="dxa" w:w="33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Sí, en cualquier herramienta aprobada.</w:t>
            </w:r>
          </w:p>
        </w:tc>
      </w:tr>
      <w:tr>
        <w:tc>
          <w:tcPr>
            <w:tcW w:type="dxa" w:w="17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Interna</w:t>
            </w:r>
          </w:p>
        </w:tc>
        <w:tc>
          <w:tcPr>
            <w:tcW w:type="dxa" w:w="40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Procedimientos, manuales, actas sin datos personales</w:t>
            </w:r>
          </w:p>
        </w:tc>
        <w:tc>
          <w:tcPr>
            <w:tcW w:type="dxa" w:w="33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Sí, solo en herramientas aprobadas con cuenta corporativa.</w:t>
            </w:r>
          </w:p>
        </w:tc>
      </w:tr>
      <w:tr>
        <w:tc>
          <w:tcPr>
            <w:tcW w:type="dxa" w:w="17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Confidencial</w:t>
            </w:r>
          </w:p>
        </w:tc>
        <w:tc>
          <w:tcPr>
            <w:tcW w:type="dxa" w:w="40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Finanzas, contratos, precios, estrategia, datos personales de clientes</w:t>
            </w:r>
          </w:p>
        </w:tc>
        <w:tc>
          <w:tcPr>
            <w:tcW w:type="dxa" w:w="33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Solo en herramientas aprobadas para este nivel en el anexo A.</w:t>
            </w:r>
          </w:p>
        </w:tc>
      </w:tr>
      <w:tr>
        <w:tc>
          <w:tcPr>
            <w:tcW w:type="dxa" w:w="17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Restringida</w:t>
            </w:r>
          </w:p>
        </w:tc>
        <w:tc>
          <w:tcPr>
            <w:tcW w:type="dxa" w:w="40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Datos sensibles, datos de menores, credenciales, secretos empresariales críticos</w:t>
            </w:r>
          </w:p>
        </w:tc>
        <w:tc>
          <w:tcPr>
            <w:tcW w:type="dxa" w:w="33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No, salvo autorización escrita de </w:t>
            </w:r>
            <w:r>
              <w:rPr>
                <w:rFonts w:ascii="Arial" w:cs="Arial" w:eastAsia="Arial" w:hAnsi="Arial"/>
                <w:sz w:val="20"/>
                <w:szCs w:val="20"/>
                <w:highlight w:val="yellow"/>
              </w:rPr>
              <w:t xml:space="preserve">[Gerencia]</w:t>
            </w:r>
            <w:r>
              <w:rPr>
                <w:rFonts w:ascii="Arial" w:cs="Arial" w:eastAsia="Arial" w:hAnsi="Arial"/>
                <w:sz w:val="20"/>
                <w:szCs w:val="20"/>
              </w:rPr>
              <w:t xml:space="preserve"> y del oficial de protección de datos.</w:t>
            </w:r>
          </w:p>
        </w:tc>
      </w:tr>
    </w:tbl>
    <w:p>
      <w:pPr>
        <w:pStyle w:val="Heading1"/>
      </w:pPr>
      <w:bookmarkStart w:name="_Toc6" w:id="6"/>
      <w:r>
        <w:rPr>
          <w:rFonts w:ascii="Arial" w:cs="Arial" w:eastAsia="Arial" w:hAnsi="Arial"/>
        </w:rPr>
        <w:t xml:space="preserve">6. Tratamiento de datos personales (Ley 1581 de 2012)</w:t>
      </w:r>
      <w:bookmarkEnd w:id="6"/>
    </w:p>
    <w:p>
      <w:pPr>
        <w:spacing w:after="140" w:line="300"/>
      </w:pPr>
      <w:r>
        <w:rPr>
          <w:rFonts w:ascii="Arial" w:cs="Arial" w:eastAsia="Arial" w:hAnsi="Arial"/>
        </w:rPr>
        <w:t xml:space="preserve">Ingresar datos personales en una herramienta de IA es una forma de tratamiento de datos personales, porque la ley entiende por tratamiento cualquier operación sobre ellos, como su recolección, almacenamiento, uso, circulación o supresión (Ley 1581 de 2012, artículo 3). Por eso, todo uso de IA con datos personales debe cumplir la Ley 1581 de 2012, sus decretos reglamentarios y la política de tratamiento de datos de </w:t>
      </w:r>
      <w:r>
        <w:rPr>
          <w:rFonts w:ascii="Arial" w:cs="Arial" w:eastAsia="Arial" w:hAnsi="Arial"/>
          <w:highlight w:val="yellow"/>
        </w:rPr>
        <w:t xml:space="preserve">[NOMBRE DE LA EMPRESA]</w:t>
      </w:r>
      <w:r>
        <w:rPr>
          <w:rFonts w:ascii="Arial" w:cs="Arial" w:eastAsia="Arial" w:hAnsi="Arial"/>
        </w:rPr>
        <w:t xml:space="preserve">, disponible en </w:t>
      </w:r>
      <w:r>
        <w:rPr>
          <w:rFonts w:ascii="Arial" w:cs="Arial" w:eastAsia="Arial" w:hAnsi="Arial"/>
          <w:highlight w:val="yellow"/>
        </w:rPr>
        <w:t xml:space="preserve">[enlace o ubicación]</w:t>
      </w:r>
      <w:r>
        <w:rPr>
          <w:rFonts w:ascii="Arial" w:cs="Arial" w:eastAsia="Arial" w:hAnsi="Arial"/>
        </w:rPr>
        <w:t xml:space="preserve">.</w:t>
      </w:r>
    </w:p>
    <w:p>
      <w:pPr>
        <w:pStyle w:val="Heading2"/>
      </w:pPr>
      <w:r>
        <w:rPr>
          <w:rFonts w:ascii="Arial" w:cs="Arial" w:eastAsia="Arial" w:hAnsi="Arial"/>
        </w:rPr>
        <w:t xml:space="preserve">6.1 Principios que se deben respetar</w:t>
      </w:r>
    </w:p>
    <w:p>
      <w:pPr>
        <w:spacing w:after="140" w:line="300"/>
      </w:pPr>
      <w:r>
        <w:rPr>
          <w:rFonts w:ascii="Arial" w:cs="Arial" w:eastAsia="Arial" w:hAnsi="Arial"/>
        </w:rPr>
        <w:t xml:space="preserve">El artículo 4 de la ley establece los principios del tratamiento. En el uso de IA se aplican así:</w:t>
      </w:r>
    </w:p>
    <w:p>
      <w:pPr>
        <w:pStyle w:val="ListParagraph"/>
        <w:numPr>
          <w:ilvl w:val="0"/>
          <w:numId w:val="2"/>
        </w:numPr>
        <w:spacing w:after="80" w:line="290"/>
      </w:pPr>
      <w:r>
        <w:rPr>
          <w:rFonts w:ascii="Arial" w:cs="Arial" w:eastAsia="Arial" w:hAnsi="Arial"/>
        </w:rPr>
        <w:t xml:space="preserve">Finalidad: los datos solo se usan para las finalidades informadas al titular. Si una finalidad nueva implica IA, primero debe revisarse si está cubierta por la autorización.</w:t>
      </w:r>
    </w:p>
    <w:p>
      <w:pPr>
        <w:pStyle w:val="ListParagraph"/>
        <w:numPr>
          <w:ilvl w:val="0"/>
          <w:numId w:val="2"/>
        </w:numPr>
        <w:spacing w:after="80" w:line="290"/>
      </w:pPr>
      <w:r>
        <w:rPr>
          <w:rFonts w:ascii="Arial" w:cs="Arial" w:eastAsia="Arial" w:hAnsi="Arial"/>
        </w:rPr>
        <w:t xml:space="preserve">Libertad: el tratamiento requiere el consentimiento previo, expreso e informado del titular, salvo las excepciones de ley.</w:t>
      </w:r>
    </w:p>
    <w:p>
      <w:pPr>
        <w:pStyle w:val="ListParagraph"/>
        <w:numPr>
          <w:ilvl w:val="0"/>
          <w:numId w:val="2"/>
        </w:numPr>
        <w:spacing w:after="80" w:line="290"/>
      </w:pPr>
      <w:r>
        <w:rPr>
          <w:rFonts w:ascii="Arial" w:cs="Arial" w:eastAsia="Arial" w:hAnsi="Arial"/>
        </w:rPr>
        <w:t xml:space="preserve">Veracidad o calidad: los datos deben ser veraces, completos, exactos y actualizados; los resultados de la IA se verifican antes de incorporarlos a una base de datos.</w:t>
      </w:r>
    </w:p>
    <w:p>
      <w:pPr>
        <w:pStyle w:val="ListParagraph"/>
        <w:numPr>
          <w:ilvl w:val="0"/>
          <w:numId w:val="2"/>
        </w:numPr>
        <w:spacing w:after="80" w:line="290"/>
      </w:pPr>
      <w:r>
        <w:rPr>
          <w:rFonts w:ascii="Arial" w:cs="Arial" w:eastAsia="Arial" w:hAnsi="Arial"/>
        </w:rPr>
        <w:t xml:space="preserve">Seguridad: se adoptan medidas técnicas, humanas y administrativas para evitar la pérdida, consulta o uso no autorizado de los datos.</w:t>
      </w:r>
    </w:p>
    <w:p>
      <w:pPr>
        <w:pStyle w:val="ListParagraph"/>
        <w:numPr>
          <w:ilvl w:val="0"/>
          <w:numId w:val="2"/>
        </w:numPr>
        <w:spacing w:after="80" w:line="290"/>
      </w:pPr>
      <w:r>
        <w:rPr>
          <w:rFonts w:ascii="Arial" w:cs="Arial" w:eastAsia="Arial" w:hAnsi="Arial"/>
        </w:rPr>
        <w:t xml:space="preserve">Acceso y circulación restringida, y confidencialidad: los datos solo los tratan personas autorizadas y no se comparten con terceros, incluidas herramientas externas, sin base legal.</w:t>
      </w:r>
    </w:p>
    <w:p>
      <w:pPr>
        <w:pStyle w:val="Heading2"/>
      </w:pPr>
      <w:r>
        <w:rPr>
          <w:rFonts w:ascii="Arial" w:cs="Arial" w:eastAsia="Arial" w:hAnsi="Arial"/>
        </w:rPr>
        <w:t xml:space="preserve">6.2 Datos sensibles y de menores de edad</w:t>
      </w:r>
    </w:p>
    <w:p>
      <w:pPr>
        <w:spacing w:after="140" w:line="300"/>
      </w:pPr>
      <w:r>
        <w:rPr>
          <w:rFonts w:ascii="Arial" w:cs="Arial" w:eastAsia="Arial" w:hAnsi="Arial"/>
        </w:rPr>
        <w:t xml:space="preserve">La ley prohíbe el tratamiento de datos sensibles salvo las excepciones de su artículo 6, como la autorización explícita del titular. También proscribe el tratamiento de datos de niñas, niños y adolescentes, salvo los de naturaleza pública (artículo 7). En consecuencia, estos datos no se ingresan en herramientas de IA, salvo autorización escrita según la sección 5.1.</w:t>
      </w:r>
    </w:p>
    <w:p>
      <w:pPr>
        <w:pStyle w:val="Heading2"/>
      </w:pPr>
      <w:r>
        <w:rPr>
          <w:rFonts w:ascii="Arial" w:cs="Arial" w:eastAsia="Arial" w:hAnsi="Arial"/>
        </w:rPr>
        <w:t xml:space="preserve">6.3 Herramientas con servidores fuera de Colombia</w:t>
      </w:r>
    </w:p>
    <w:p>
      <w:pPr>
        <w:spacing w:after="140" w:line="300"/>
      </w:pPr>
      <w:r>
        <w:rPr>
          <w:rFonts w:ascii="Arial" w:cs="Arial" w:eastAsia="Arial" w:hAnsi="Arial"/>
        </w:rPr>
        <w:t xml:space="preserve">Muchas herramientas de IA procesan la información en otros países. El artículo 26 de la ley prohíbe transferir datos personales a países que no proporcionen niveles adecuados de protección, salvo las excepciones allí previstas. Antes de aprobar una herramienta que vaya a procesar datos personales, el responsable de IA y el </w:t>
      </w:r>
      <w:r>
        <w:rPr>
          <w:rFonts w:ascii="Arial" w:cs="Arial" w:eastAsia="Arial" w:hAnsi="Arial"/>
          <w:highlight w:val="yellow"/>
        </w:rPr>
        <w:t xml:space="preserve">[oficial de protección de datos / área jurídica]</w:t>
      </w:r>
      <w:r>
        <w:rPr>
          <w:rFonts w:ascii="Arial" w:cs="Arial" w:eastAsia="Arial" w:hAnsi="Arial"/>
        </w:rPr>
        <w:t xml:space="preserve"> verifican dónde se procesan los datos y qué contrato o mecanismo respalda esa transferencia o transmisión.</w:t>
      </w:r>
    </w:p>
    <w:p>
      <w:pPr>
        <w:pStyle w:val="Heading2"/>
      </w:pPr>
      <w:r>
        <w:rPr>
          <w:rFonts w:ascii="Arial" w:cs="Arial" w:eastAsia="Arial" w:hAnsi="Arial"/>
        </w:rPr>
        <w:t xml:space="preserve">6.4 Gestión del riesgo en sistemas de IA</w:t>
      </w:r>
    </w:p>
    <w:p>
      <w:pPr>
        <w:spacing w:after="140" w:line="300"/>
      </w:pPr>
      <w:r>
        <w:rPr>
          <w:rFonts w:ascii="Arial" w:cs="Arial" w:eastAsia="Arial" w:hAnsi="Arial"/>
        </w:rPr>
        <w:t xml:space="preserve">La Superintendencia de Industria y Comercio (SIC), autoridad de protección de datos en Colombia, expidió la Circular Externa 002 de 2024 con lineamientos sobre el tratamiento de datos personales en sistemas de inteligencia artificial. En línea con ella, la empresa:</w:t>
      </w:r>
    </w:p>
    <w:p>
      <w:pPr>
        <w:pStyle w:val="ListParagraph"/>
        <w:numPr>
          <w:ilvl w:val="0"/>
          <w:numId w:val="2"/>
        </w:numPr>
        <w:spacing w:after="80" w:line="290"/>
      </w:pPr>
      <w:r>
        <w:rPr>
          <w:rFonts w:ascii="Arial" w:cs="Arial" w:eastAsia="Arial" w:hAnsi="Arial"/>
        </w:rPr>
        <w:t xml:space="preserve">Evalúa los riesgos para los titulares antes de usar IA con datos personales y documenta esa evaluación.</w:t>
      </w:r>
    </w:p>
    <w:p>
      <w:pPr>
        <w:pStyle w:val="ListParagraph"/>
        <w:numPr>
          <w:ilvl w:val="0"/>
          <w:numId w:val="2"/>
        </w:numPr>
        <w:spacing w:after="80" w:line="290"/>
      </w:pPr>
      <w:r>
        <w:rPr>
          <w:rFonts w:ascii="Arial" w:cs="Arial" w:eastAsia="Arial" w:hAnsi="Arial"/>
        </w:rPr>
        <w:t xml:space="preserve">Se abstiene de tratar datos personales con IA cuando no tenga claridad sobre los posibles daños, o adopta medidas preventivas.</w:t>
      </w:r>
    </w:p>
    <w:p>
      <w:pPr>
        <w:pStyle w:val="ListParagraph"/>
        <w:numPr>
          <w:ilvl w:val="0"/>
          <w:numId w:val="2"/>
        </w:numPr>
        <w:spacing w:after="80" w:line="290"/>
      </w:pPr>
      <w:r>
        <w:rPr>
          <w:rFonts w:ascii="Arial" w:cs="Arial" w:eastAsia="Arial" w:hAnsi="Arial"/>
        </w:rPr>
        <w:t xml:space="preserve">Mantiene evidencia de las medidas que toma para cumplir, de acuerdo con el principio de responsabilidad demostrada.</w:t>
      </w:r>
    </w:p>
    <w:p>
      <w:pPr>
        <w:spacing w:after="140" w:line="300"/>
      </w:pPr>
      <w:r>
        <w:rPr>
          <w:rFonts w:ascii="Arial" w:cs="Arial" w:eastAsia="Arial" w:hAnsi="Arial"/>
        </w:rPr>
        <w:t xml:space="preserve">El incumplimiento de las normas de protección de datos puede dar lugar a sanciones de la SIC, que incluyen multas de hasta dos mil salarios mínimos mensuales legales vigentes (Ley 1581 de 2012, artículo 23).</w:t>
      </w:r>
    </w:p>
    <w:p>
      <w:pPr>
        <w:pStyle w:val="Heading2"/>
      </w:pPr>
      <w:r>
        <w:rPr>
          <w:rFonts w:ascii="Arial" w:cs="Arial" w:eastAsia="Arial" w:hAnsi="Arial"/>
        </w:rPr>
        <w:t xml:space="preserve">6.5 Fuentes oficiales</w:t>
      </w:r>
    </w:p>
    <w:p>
      <w:pPr>
        <w:pStyle w:val="ListParagraph"/>
        <w:numPr>
          <w:ilvl w:val="0"/>
          <w:numId w:val="2"/>
        </w:numPr>
        <w:spacing w:after="80"/>
      </w:pPr>
      <w:hyperlink w:history="1" r:id="rIdm4y8qmxzc7s-q-v4petvc">
        <w:r>
          <w:rPr>
            <w:rStyle w:val="Hyperlink"/>
            <w:rFonts w:ascii="Arial" w:cs="Arial" w:eastAsia="Arial" w:hAnsi="Arial"/>
          </w:rPr>
          <w:t xml:space="preserve">Ley 1581 de 2012 – Gestor Normativo de Función Pública</w:t>
        </w:r>
      </w:hyperlink>
    </w:p>
    <w:p>
      <w:pPr>
        <w:pStyle w:val="ListParagraph"/>
        <w:numPr>
          <w:ilvl w:val="0"/>
          <w:numId w:val="2"/>
        </w:numPr>
        <w:spacing w:after="80"/>
      </w:pPr>
      <w:hyperlink w:history="1" r:id="rIdjq-nc8tslq0m0bpfjridv">
        <w:r>
          <w:rPr>
            <w:rStyle w:val="Hyperlink"/>
            <w:rFonts w:ascii="Arial" w:cs="Arial" w:eastAsia="Arial" w:hAnsi="Arial"/>
          </w:rPr>
          <w:t xml:space="preserve">Decreto 1377 de 2013 – Gestor Normativo de Función Pública</w:t>
        </w:r>
      </w:hyperlink>
    </w:p>
    <w:p>
      <w:pPr>
        <w:pStyle w:val="ListParagraph"/>
        <w:numPr>
          <w:ilvl w:val="0"/>
          <w:numId w:val="2"/>
        </w:numPr>
        <w:spacing w:after="80"/>
      </w:pPr>
      <w:hyperlink w:history="1" r:id="rIdy-5kl2rcytega80weis5v">
        <w:r>
          <w:rPr>
            <w:rStyle w:val="Hyperlink"/>
            <w:rFonts w:ascii="Arial" w:cs="Arial" w:eastAsia="Arial" w:hAnsi="Arial"/>
          </w:rPr>
          <w:t xml:space="preserve">Circular Externa 002 de 2024 – Superintendencia de Industria y Comercio</w:t>
        </w:r>
      </w:hyperlink>
    </w:p>
    <w:p>
      <w:pPr>
        <w:pStyle w:val="ListParagraph"/>
        <w:numPr>
          <w:ilvl w:val="0"/>
          <w:numId w:val="2"/>
        </w:numPr>
        <w:spacing w:after="80"/>
      </w:pPr>
      <w:hyperlink w:history="1" r:id="rIdjoktpedco1euve1xs_8em">
        <w:r>
          <w:rPr>
            <w:rStyle w:val="Hyperlink"/>
            <w:rFonts w:ascii="Arial" w:cs="Arial" w:eastAsia="Arial" w:hAnsi="Arial"/>
          </w:rPr>
          <w:t xml:space="preserve">Protección de datos personales – Superintendencia de Industria y Comercio</w:t>
        </w:r>
      </w:hyperlink>
    </w:p>
    <w:p>
      <w:pPr>
        <w:pStyle w:val="Heading1"/>
      </w:pPr>
      <w:bookmarkStart w:name="_Toc7" w:id="7"/>
      <w:r>
        <w:rPr>
          <w:rFonts w:ascii="Arial" w:cs="Arial" w:eastAsia="Arial" w:hAnsi="Arial"/>
        </w:rPr>
        <w:t xml:space="preserve">7. Propiedad intelectual y confidencialidad</w:t>
      </w:r>
      <w:bookmarkEnd w:id="7"/>
    </w:p>
    <w:p>
      <w:pPr>
        <w:pStyle w:val="ListParagraph"/>
        <w:numPr>
          <w:ilvl w:val="0"/>
          <w:numId w:val="2"/>
        </w:numPr>
        <w:spacing w:after="80" w:line="290"/>
      </w:pPr>
      <w:r>
        <w:rPr>
          <w:rFonts w:ascii="Arial" w:cs="Arial" w:eastAsia="Arial" w:hAnsi="Arial"/>
        </w:rPr>
        <w:t xml:space="preserve">Los textos, imágenes, código y demás resultados producidos con IA en ejercicio de las funciones laborales o contractuales se consideran trabajo realizado para </w:t>
      </w:r>
      <w:r>
        <w:rPr>
          <w:rFonts w:ascii="Arial" w:cs="Arial" w:eastAsia="Arial" w:hAnsi="Arial"/>
          <w:highlight w:val="yellow"/>
        </w:rPr>
        <w:t xml:space="preserve">[NOMBRE DE LA EMPRESA]</w:t>
      </w:r>
      <w:r>
        <w:rPr>
          <w:rFonts w:ascii="Arial" w:cs="Arial" w:eastAsia="Arial" w:hAnsi="Arial"/>
        </w:rPr>
        <w:t xml:space="preserve">, en los términos de los contratos de trabajo o de prestación de servicios.</w:t>
      </w:r>
    </w:p>
    <w:p>
      <w:pPr>
        <w:pStyle w:val="ListParagraph"/>
        <w:numPr>
          <w:ilvl w:val="0"/>
          <w:numId w:val="2"/>
        </w:numPr>
        <w:spacing w:after="80" w:line="290"/>
      </w:pPr>
      <w:r>
        <w:rPr>
          <w:rFonts w:ascii="Arial" w:cs="Arial" w:eastAsia="Arial" w:hAnsi="Arial"/>
        </w:rPr>
        <w:t xml:space="preserve">No se ingresan en herramientas de IA obras, documentos o código de terceros protegidos, salvo que la empresa tenga derecho a usarlos para ese fin.</w:t>
      </w:r>
    </w:p>
    <w:p>
      <w:pPr>
        <w:pStyle w:val="ListParagraph"/>
        <w:numPr>
          <w:ilvl w:val="0"/>
          <w:numId w:val="2"/>
        </w:numPr>
        <w:spacing w:after="80" w:line="290"/>
      </w:pPr>
      <w:r>
        <w:rPr>
          <w:rFonts w:ascii="Arial" w:cs="Arial" w:eastAsia="Arial" w:hAnsi="Arial"/>
        </w:rPr>
        <w:t xml:space="preserve">Antes de publicar o vender un resultado generado con IA (imágenes, logos, textos de campaña, código), se verifica que no reproduzca marcas, obras o contenidos de terceros.</w:t>
      </w:r>
    </w:p>
    <w:p>
      <w:pPr>
        <w:pStyle w:val="ListParagraph"/>
        <w:numPr>
          <w:ilvl w:val="0"/>
          <w:numId w:val="2"/>
        </w:numPr>
        <w:spacing w:after="80" w:line="290"/>
      </w:pPr>
      <w:r>
        <w:rPr>
          <w:rFonts w:ascii="Arial" w:cs="Arial" w:eastAsia="Arial" w:hAnsi="Arial"/>
        </w:rPr>
        <w:t xml:space="preserve">Las condiciones de uso de cada herramienta sobre la propiedad de los resultados se revisan al aprobarla y se registran en el anexo A.</w:t>
      </w:r>
    </w:p>
    <w:p>
      <w:pPr>
        <w:pStyle w:val="ListParagraph"/>
        <w:numPr>
          <w:ilvl w:val="0"/>
          <w:numId w:val="2"/>
        </w:numPr>
        <w:spacing w:after="80" w:line="290"/>
      </w:pPr>
      <w:r>
        <w:rPr>
          <w:rFonts w:ascii="Arial" w:cs="Arial" w:eastAsia="Arial" w:hAnsi="Arial"/>
        </w:rPr>
        <w:t xml:space="preserve">Los deberes de confidencialidad de los contratos siguen vigentes cuando se usa IA: compartir información confidencial con una herramienta no aprobada equivale a divulgarla.</w:t>
      </w:r>
    </w:p>
    <w:p>
      <w:pPr>
        <w:pStyle w:val="Heading1"/>
      </w:pPr>
      <w:bookmarkStart w:name="_Toc8" w:id="8"/>
      <w:r>
        <w:rPr>
          <w:rFonts w:ascii="Arial" w:cs="Arial" w:eastAsia="Arial" w:hAnsi="Arial"/>
        </w:rPr>
        <w:t xml:space="preserve">8. Revisión humana</w:t>
      </w:r>
      <w:bookmarkEnd w:id="8"/>
    </w:p>
    <w:p>
      <w:pPr>
        <w:spacing w:after="140" w:line="300"/>
      </w:pPr>
      <w:r>
        <w:rPr>
          <w:rFonts w:ascii="Arial" w:cs="Arial" w:eastAsia="Arial" w:hAnsi="Arial"/>
        </w:rPr>
        <w:t xml:space="preserve">Todo resultado de IA es un borrador hasta que una persona lo revisa. Antes de usarlo se verifica, como mínimo:</w:t>
      </w:r>
    </w:p>
    <w:p>
      <w:pPr>
        <w:pStyle w:val="ListParagraph"/>
        <w:numPr>
          <w:ilvl w:val="0"/>
          <w:numId w:val="3"/>
        </w:numPr>
        <w:spacing w:after="80" w:line="290"/>
      </w:pPr>
      <w:r>
        <w:rPr>
          <w:rFonts w:ascii="Arial" w:cs="Arial" w:eastAsia="Arial" w:hAnsi="Arial"/>
        </w:rPr>
        <w:t xml:space="preserve">Que las cifras, fechas, nombres, normas y citas sean correctas y tengan fuente verificable.</w:t>
      </w:r>
    </w:p>
    <w:p>
      <w:pPr>
        <w:pStyle w:val="ListParagraph"/>
        <w:numPr>
          <w:ilvl w:val="0"/>
          <w:numId w:val="3"/>
        </w:numPr>
        <w:spacing w:after="80" w:line="290"/>
      </w:pPr>
      <w:r>
        <w:rPr>
          <w:rFonts w:ascii="Arial" w:cs="Arial" w:eastAsia="Arial" w:hAnsi="Arial"/>
        </w:rPr>
        <w:t xml:space="preserve">Que no contenga datos personales o confidenciales que no deban estar ahí.</w:t>
      </w:r>
    </w:p>
    <w:p>
      <w:pPr>
        <w:pStyle w:val="ListParagraph"/>
        <w:numPr>
          <w:ilvl w:val="0"/>
          <w:numId w:val="3"/>
        </w:numPr>
        <w:spacing w:after="80" w:line="290"/>
      </w:pPr>
      <w:r>
        <w:rPr>
          <w:rFonts w:ascii="Arial" w:cs="Arial" w:eastAsia="Arial" w:hAnsi="Arial"/>
        </w:rPr>
        <w:t xml:space="preserve">Que el tono y el contenido correspondan a la empresa y no resulten ofensivos o discriminatorios.</w:t>
      </w:r>
    </w:p>
    <w:p>
      <w:pPr>
        <w:pStyle w:val="ListParagraph"/>
        <w:numPr>
          <w:ilvl w:val="0"/>
          <w:numId w:val="3"/>
        </w:numPr>
        <w:spacing w:after="80" w:line="290"/>
      </w:pPr>
      <w:r>
        <w:rPr>
          <w:rFonts w:ascii="Arial" w:cs="Arial" w:eastAsia="Arial" w:hAnsi="Arial"/>
        </w:rPr>
        <w:t xml:space="preserve">Que cumpla la finalidad para la que se pidió.</w:t>
      </w:r>
    </w:p>
    <w:p>
      <w:pPr>
        <w:spacing w:after="140" w:line="300"/>
      </w:pPr>
      <w:r>
        <w:rPr>
          <w:rFonts w:ascii="Arial" w:cs="Arial" w:eastAsia="Arial" w:hAnsi="Arial"/>
        </w:rPr>
        <w:t xml:space="preserve">Las decisiones que afectan a una persona (contratación, evaluación de desempeño, terminación de contratos, aprobación de créditos, reclamaciones) nunca se toman solo con base en un resultado de IA. Una persona con autoridad revisa la información y responde por la decisión.</w:t>
      </w:r>
    </w:p>
    <w:p>
      <w:pPr>
        <w:pStyle w:val="Heading1"/>
      </w:pPr>
      <w:bookmarkStart w:name="_Toc9" w:id="9"/>
      <w:r>
        <w:rPr>
          <w:rFonts w:ascii="Arial" w:cs="Arial" w:eastAsia="Arial" w:hAnsi="Arial"/>
        </w:rPr>
        <w:t xml:space="preserve">9. Transparencia y seguridad de las cuentas</w:t>
      </w:r>
      <w:bookmarkEnd w:id="9"/>
    </w:p>
    <w:p>
      <w:pPr>
        <w:pStyle w:val="ListParagraph"/>
        <w:numPr>
          <w:ilvl w:val="0"/>
          <w:numId w:val="2"/>
        </w:numPr>
        <w:spacing w:after="80" w:line="290"/>
      </w:pPr>
      <w:r>
        <w:rPr>
          <w:rFonts w:ascii="Arial" w:cs="Arial" w:eastAsia="Arial" w:hAnsi="Arial"/>
        </w:rPr>
        <w:t xml:space="preserve">Se informa al cliente cuando interactúa con un asistente automatizado y no con una persona, y se le ofrece la opción de hablar con alguien del equipo.</w:t>
      </w:r>
    </w:p>
    <w:p>
      <w:pPr>
        <w:pStyle w:val="ListParagraph"/>
        <w:numPr>
          <w:ilvl w:val="0"/>
          <w:numId w:val="2"/>
        </w:numPr>
        <w:spacing w:after="80" w:line="290"/>
      </w:pPr>
      <w:r>
        <w:rPr>
          <w:rFonts w:ascii="Arial" w:cs="Arial" w:eastAsia="Arial" w:hAnsi="Arial"/>
          <w:highlight w:val="yellow"/>
        </w:rPr>
        <w:t xml:space="preserve">[Opcional]</w:t>
      </w:r>
      <w:r>
        <w:rPr>
          <w:rFonts w:ascii="Arial" w:cs="Arial" w:eastAsia="Arial" w:hAnsi="Arial"/>
        </w:rPr>
        <w:t xml:space="preserve"> Los entregables a clientes elaborados en buena parte con IA se identifican según lo acordado en cada contrato.</w:t>
      </w:r>
    </w:p>
    <w:p>
      <w:pPr>
        <w:pStyle w:val="ListParagraph"/>
        <w:numPr>
          <w:ilvl w:val="0"/>
          <w:numId w:val="2"/>
        </w:numPr>
        <w:spacing w:after="80" w:line="290"/>
      </w:pPr>
      <w:r>
        <w:rPr>
          <w:rFonts w:ascii="Arial" w:cs="Arial" w:eastAsia="Arial" w:hAnsi="Arial"/>
        </w:rPr>
        <w:t xml:space="preserve">Las cuentas de IA de la empresa usan correo corporativo, contraseña única y verificación en dos pasos.</w:t>
      </w:r>
    </w:p>
    <w:p>
      <w:pPr>
        <w:pStyle w:val="ListParagraph"/>
        <w:numPr>
          <w:ilvl w:val="0"/>
          <w:numId w:val="2"/>
        </w:numPr>
        <w:spacing w:after="80" w:line="290"/>
      </w:pPr>
      <w:r>
        <w:rPr>
          <w:rFonts w:ascii="Arial" w:cs="Arial" w:eastAsia="Arial" w:hAnsi="Arial"/>
        </w:rPr>
        <w:t xml:space="preserve">Cuando una persona sale de la empresa, </w:t>
      </w:r>
      <w:r>
        <w:rPr>
          <w:rFonts w:ascii="Arial" w:cs="Arial" w:eastAsia="Arial" w:hAnsi="Arial"/>
          <w:highlight w:val="yellow"/>
        </w:rPr>
        <w:t xml:space="preserve">[TI]</w:t>
      </w:r>
      <w:r>
        <w:rPr>
          <w:rFonts w:ascii="Arial" w:cs="Arial" w:eastAsia="Arial" w:hAnsi="Arial"/>
        </w:rPr>
        <w:t xml:space="preserve"> retira sus accesos a las herramientas de IA el mismo día.</w:t>
      </w:r>
    </w:p>
    <w:p>
      <w:pPr>
        <w:pStyle w:val="ListParagraph"/>
        <w:numPr>
          <w:ilvl w:val="0"/>
          <w:numId w:val="2"/>
        </w:numPr>
        <w:spacing w:after="80" w:line="290"/>
      </w:pPr>
      <w:r>
        <w:rPr>
          <w:rFonts w:ascii="Arial" w:cs="Arial" w:eastAsia="Arial" w:hAnsi="Arial"/>
        </w:rPr>
        <w:t xml:space="preserve">Se desactiva el uso de conversaciones para entrenamiento de modelos cuando la herramienta lo permita.</w:t>
      </w:r>
    </w:p>
    <w:p>
      <w:pPr>
        <w:pStyle w:val="Heading1"/>
      </w:pPr>
      <w:bookmarkStart w:name="_Toc10" w:id="10"/>
      <w:r>
        <w:rPr>
          <w:rFonts w:ascii="Arial" w:cs="Arial" w:eastAsia="Arial" w:hAnsi="Arial"/>
        </w:rPr>
        <w:t xml:space="preserve">10. Incidentes</w:t>
      </w:r>
      <w:bookmarkEnd w:id="10"/>
    </w:p>
    <w:p>
      <w:pPr>
        <w:spacing w:after="140" w:line="300"/>
      </w:pPr>
      <w:r>
        <w:rPr>
          <w:rFonts w:ascii="Arial" w:cs="Arial" w:eastAsia="Arial" w:hAnsi="Arial"/>
        </w:rPr>
        <w:t xml:space="preserve">Se considera incidente cualquier ingreso de información prohibida en una herramienta de IA, el uso de una herramienta no aprobada con información de la empresa, o un resultado de IA que haya causado un daño a un cliente o a un tercero. Quien detecte un incidente debe:</w:t>
      </w:r>
    </w:p>
    <w:p>
      <w:pPr>
        <w:pStyle w:val="ListParagraph"/>
        <w:numPr>
          <w:ilvl w:val="0"/>
          <w:numId w:val="4"/>
        </w:numPr>
        <w:spacing w:after="80" w:line="290"/>
      </w:pPr>
      <w:r>
        <w:rPr>
          <w:rFonts w:ascii="Arial" w:cs="Arial" w:eastAsia="Arial" w:hAnsi="Arial"/>
        </w:rPr>
        <w:t xml:space="preserve">Detener el uso y no borrar evidencia.</w:t>
      </w:r>
    </w:p>
    <w:p>
      <w:pPr>
        <w:pStyle w:val="ListParagraph"/>
        <w:numPr>
          <w:ilvl w:val="0"/>
          <w:numId w:val="4"/>
        </w:numPr>
        <w:spacing w:after="80" w:line="290"/>
      </w:pPr>
      <w:r>
        <w:rPr>
          <w:rFonts w:ascii="Arial" w:cs="Arial" w:eastAsia="Arial" w:hAnsi="Arial"/>
        </w:rPr>
        <w:t xml:space="preserve">Reportarlo de inmediato a </w:t>
      </w:r>
      <w:r>
        <w:rPr>
          <w:rFonts w:ascii="Arial" w:cs="Arial" w:eastAsia="Arial" w:hAnsi="Arial"/>
          <w:highlight w:val="yellow"/>
        </w:rPr>
        <w:t xml:space="preserve">[correo o canal de reporte]</w:t>
      </w:r>
      <w:r>
        <w:rPr>
          <w:rFonts w:ascii="Arial" w:cs="Arial" w:eastAsia="Arial" w:hAnsi="Arial"/>
        </w:rPr>
        <w:t xml:space="preserve"> indicando qué información se ingresó, en qué herramienta y cuándo.</w:t>
      </w:r>
    </w:p>
    <w:p>
      <w:pPr>
        <w:pStyle w:val="ListParagraph"/>
        <w:numPr>
          <w:ilvl w:val="0"/>
          <w:numId w:val="4"/>
        </w:numPr>
        <w:spacing w:after="80" w:line="290"/>
      </w:pPr>
      <w:r>
        <w:rPr>
          <w:rFonts w:ascii="Arial" w:cs="Arial" w:eastAsia="Arial" w:hAnsi="Arial"/>
        </w:rPr>
        <w:t xml:space="preserve">Seguir las instrucciones del responsable de IA y del oficial de protección de datos, que evaluarán si se debe informar a los titulares o a la autoridad.</w:t>
      </w:r>
    </w:p>
    <w:p>
      <w:pPr>
        <w:spacing w:after="140" w:line="300"/>
      </w:pPr>
      <w:r>
        <w:rPr>
          <w:rFonts w:ascii="Arial" w:cs="Arial" w:eastAsia="Arial" w:hAnsi="Arial"/>
        </w:rPr>
        <w:t xml:space="preserve">Reportar a tiempo un error propio no se sanciona como si se hubiera ocultado.</w:t>
      </w:r>
    </w:p>
    <w:p>
      <w:pPr>
        <w:pStyle w:val="Heading1"/>
      </w:pPr>
      <w:bookmarkStart w:name="_Toc11" w:id="11"/>
      <w:r>
        <w:rPr>
          <w:rFonts w:ascii="Arial" w:cs="Arial" w:eastAsia="Arial" w:hAnsi="Arial"/>
        </w:rPr>
        <w:t xml:space="preserve">11. Roles y responsables</w:t>
      </w:r>
      <w:bookmarkEnd w:id="11"/>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2200"/>
        <w:gridCol w:w="4526"/>
      </w:tblGrid>
      <w:tr>
        <w:trPr>
          <w:tblHeader/>
        </w:trPr>
        <w:tc>
          <w:tcPr>
            <w:tcW w:type="dxa" w:w="2300"/>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Rol</w:t>
            </w:r>
          </w:p>
        </w:tc>
        <w:tc>
          <w:tcPr>
            <w:tcW w:type="dxa" w:w="2200"/>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Persona o cargo</w:t>
            </w:r>
          </w:p>
        </w:tc>
        <w:tc>
          <w:tcPr>
            <w:tcW w:type="dxa" w:w="4526"/>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Responsabilidades</w:t>
            </w:r>
          </w:p>
        </w:tc>
      </w:tr>
      <w:tr>
        <w:tc>
          <w:tcPr>
            <w:tcW w:type="dxa" w:w="23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Gerencia</w:t>
            </w:r>
          </w:p>
        </w:tc>
        <w:tc>
          <w:tcPr>
            <w:tcW w:type="dxa" w:w="22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[Cargo]</w:t>
            </w:r>
          </w:p>
        </w:tc>
        <w:tc>
          <w:tcPr>
            <w:tcW w:type="dxa" w:w="45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Aprueba esta política y los recursos; decide sobre usos de riesgo alto.</w:t>
            </w:r>
          </w:p>
        </w:tc>
      </w:tr>
      <w:tr>
        <w:tc>
          <w:tcPr>
            <w:tcW w:type="dxa" w:w="23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Responsable de IA</w:t>
            </w:r>
          </w:p>
        </w:tc>
        <w:tc>
          <w:tcPr>
            <w:tcW w:type="dxa" w:w="22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[Nombre y cargo]</w:t>
            </w:r>
          </w:p>
        </w:tc>
        <w:tc>
          <w:tcPr>
            <w:tcW w:type="dxa" w:w="45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Mantiene el anexo A, evalúa herramientas nuevas, coordina capacitaciones y atiende incidentes.</w:t>
            </w:r>
          </w:p>
        </w:tc>
      </w:tr>
      <w:tr>
        <w:tc>
          <w:tcPr>
            <w:tcW w:type="dxa" w:w="23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Oficial de protección de datos</w:t>
            </w:r>
          </w:p>
        </w:tc>
        <w:tc>
          <w:tcPr>
            <w:tcW w:type="dxa" w:w="22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[Nombre y cargo]</w:t>
            </w:r>
          </w:p>
        </w:tc>
        <w:tc>
          <w:tcPr>
            <w:tcW w:type="dxa" w:w="45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Verifica el cumplimiento de la Ley 1581 de 2012 en los usos de IA con datos personales.</w:t>
            </w:r>
          </w:p>
        </w:tc>
      </w:tr>
      <w:tr>
        <w:tc>
          <w:tcPr>
            <w:tcW w:type="dxa" w:w="23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TI / seguridad</w:t>
            </w:r>
          </w:p>
        </w:tc>
        <w:tc>
          <w:tcPr>
            <w:tcW w:type="dxa" w:w="22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[Cargo o proveedor]</w:t>
            </w:r>
          </w:p>
        </w:tc>
        <w:tc>
          <w:tcPr>
            <w:tcW w:type="dxa" w:w="45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Configura cuentas, accesos y medidas de seguridad; retira accesos.</w:t>
            </w:r>
          </w:p>
        </w:tc>
      </w:tr>
      <w:tr>
        <w:tc>
          <w:tcPr>
            <w:tcW w:type="dxa" w:w="23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Líderes de área</w:t>
            </w:r>
          </w:p>
        </w:tc>
        <w:tc>
          <w:tcPr>
            <w:tcW w:type="dxa" w:w="22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Cada jefe de área</w:t>
            </w:r>
          </w:p>
        </w:tc>
        <w:tc>
          <w:tcPr>
            <w:tcW w:type="dxa" w:w="45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Identifican usos de IA en su área, velan por la revisión humana y reportan necesidades.</w:t>
            </w:r>
          </w:p>
        </w:tc>
      </w:tr>
      <w:tr>
        <w:tc>
          <w:tcPr>
            <w:tcW w:type="dxa" w:w="23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Colaboradores</w:t>
            </w:r>
          </w:p>
        </w:tc>
        <w:tc>
          <w:tcPr>
            <w:tcW w:type="dxa" w:w="22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Todas las personas</w:t>
            </w:r>
          </w:p>
        </w:tc>
        <w:tc>
          <w:tcPr>
            <w:tcW w:type="dxa" w:w="45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Cumplen esta política, revisan los resultados y reportan incidentes.</w:t>
            </w:r>
          </w:p>
        </w:tc>
      </w:tr>
    </w:tbl>
    <w:p>
      <w:pPr>
        <w:pStyle w:val="Heading1"/>
      </w:pPr>
      <w:bookmarkStart w:name="_Toc12" w:id="12"/>
      <w:r>
        <w:rPr>
          <w:rFonts w:ascii="Arial" w:cs="Arial" w:eastAsia="Arial" w:hAnsi="Arial"/>
        </w:rPr>
        <w:t xml:space="preserve">12. Capacitación</w:t>
      </w:r>
      <w:bookmarkEnd w:id="12"/>
    </w:p>
    <w:p>
      <w:pPr>
        <w:spacing w:after="140" w:line="300"/>
      </w:pPr>
      <w:r>
        <w:rPr>
          <w:rFonts w:ascii="Arial" w:cs="Arial" w:eastAsia="Arial" w:hAnsi="Arial"/>
        </w:rPr>
        <w:t xml:space="preserve">Toda persona recibe una inducción sobre esta política antes de usar herramientas de IA aprobadas, y la empresa realiza al menos </w:t>
      </w:r>
      <w:r>
        <w:rPr>
          <w:rFonts w:ascii="Arial" w:cs="Arial" w:eastAsia="Arial" w:hAnsi="Arial"/>
          <w:highlight w:val="yellow"/>
        </w:rPr>
        <w:t xml:space="preserve">[una]</w:t>
      </w:r>
      <w:r>
        <w:rPr>
          <w:rFonts w:ascii="Arial" w:cs="Arial" w:eastAsia="Arial" w:hAnsi="Arial"/>
        </w:rPr>
        <w:t xml:space="preserve"> capacitación práctica al </w:t>
      </w:r>
      <w:r>
        <w:rPr>
          <w:rFonts w:ascii="Arial" w:cs="Arial" w:eastAsia="Arial" w:hAnsi="Arial"/>
          <w:highlight w:val="yellow"/>
        </w:rPr>
        <w:t xml:space="preserve">[semestre]</w:t>
      </w:r>
      <w:r>
        <w:rPr>
          <w:rFonts w:ascii="Arial" w:cs="Arial" w:eastAsia="Arial" w:hAnsi="Arial"/>
        </w:rPr>
        <w:t xml:space="preserve"> sobre buen uso de la IA, seguridad de la información y protección de datos personales.</w:t>
      </w:r>
    </w:p>
    <w:p>
      <w:pPr>
        <w:pStyle w:val="Heading1"/>
      </w:pPr>
      <w:bookmarkStart w:name="_Toc13" w:id="13"/>
      <w:r>
        <w:rPr>
          <w:rFonts w:ascii="Arial" w:cs="Arial" w:eastAsia="Arial" w:hAnsi="Arial"/>
        </w:rPr>
        <w:t xml:space="preserve">13. Incumplimiento</w:t>
      </w:r>
      <w:bookmarkEnd w:id="13"/>
    </w:p>
    <w:p>
      <w:pPr>
        <w:spacing w:after="140" w:line="300"/>
      </w:pPr>
      <w:r>
        <w:rPr>
          <w:rFonts w:ascii="Arial" w:cs="Arial" w:eastAsia="Arial" w:hAnsi="Arial"/>
        </w:rPr>
        <w:t xml:space="preserve">El incumplimiento de esta política se gestiona de acuerdo con el </w:t>
      </w:r>
      <w:r>
        <w:rPr>
          <w:rFonts w:ascii="Arial" w:cs="Arial" w:eastAsia="Arial" w:hAnsi="Arial"/>
          <w:highlight w:val="yellow"/>
        </w:rPr>
        <w:t xml:space="preserve">[reglamento interno de trabajo / contrato aplicable]</w:t>
      </w:r>
      <w:r>
        <w:rPr>
          <w:rFonts w:ascii="Arial" w:cs="Arial" w:eastAsia="Arial" w:hAnsi="Arial"/>
        </w:rPr>
        <w:t xml:space="preserve">, considerando la gravedad, la intención y si la persona reportó el hecho a tiempo.</w:t>
      </w:r>
    </w:p>
    <w:p>
      <w:pPr>
        <w:pStyle w:val="Heading1"/>
      </w:pPr>
      <w:bookmarkStart w:name="_Toc14" w:id="14"/>
      <w:r>
        <w:rPr>
          <w:rFonts w:ascii="Arial" w:cs="Arial" w:eastAsia="Arial" w:hAnsi="Arial"/>
        </w:rPr>
        <w:t xml:space="preserve">14. Vigencia y revisión</w:t>
      </w:r>
      <w:bookmarkEnd w:id="14"/>
    </w:p>
    <w:p>
      <w:pPr>
        <w:spacing w:after="140" w:line="300"/>
      </w:pPr>
      <w:r>
        <w:rPr>
          <w:rFonts w:ascii="Arial" w:cs="Arial" w:eastAsia="Arial" w:hAnsi="Arial"/>
        </w:rPr>
        <w:t xml:space="preserve">Esta política rige desde su aprobación y se revisa como mínimo cada </w:t>
      </w:r>
      <w:r>
        <w:rPr>
          <w:rFonts w:ascii="Arial" w:cs="Arial" w:eastAsia="Arial" w:hAnsi="Arial"/>
          <w:highlight w:val="yellow"/>
        </w:rPr>
        <w:t xml:space="preserve">[seis]</w:t>
      </w:r>
      <w:r>
        <w:rPr>
          <w:rFonts w:ascii="Arial" w:cs="Arial" w:eastAsia="Arial" w:hAnsi="Arial"/>
        </w:rPr>
        <w:t xml:space="preserve"> meses, o antes si cambian las herramientas, la regulación o la operación de la empresa.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1800"/>
        <w:gridCol w:w="3926"/>
        <w:gridCol w:w="2000"/>
      </w:tblGrid>
      <w:tr>
        <w:trPr>
          <w:tblHeader/>
        </w:trPr>
        <w:tc>
          <w:tcPr>
            <w:tcW w:type="dxa" w:w="1300"/>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Versión</w:t>
            </w:r>
          </w:p>
        </w:tc>
        <w:tc>
          <w:tcPr>
            <w:tcW w:type="dxa" w:w="1800"/>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Fecha</w:t>
            </w:r>
          </w:p>
        </w:tc>
        <w:tc>
          <w:tcPr>
            <w:tcW w:type="dxa" w:w="3926"/>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Cambios</w:t>
            </w:r>
          </w:p>
        </w:tc>
        <w:tc>
          <w:tcPr>
            <w:tcW w:type="dxa" w:w="2000"/>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Aprobó</w:t>
            </w:r>
          </w:p>
        </w:tc>
      </w:tr>
      <w:tr>
        <w:tc>
          <w:tcPr>
            <w:tcW w:type="dxa" w:w="13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[1.0]</w:t>
            </w:r>
          </w:p>
        </w:tc>
        <w:tc>
          <w:tcPr>
            <w:tcW w:type="dxa" w:w="18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[DD/MM/AAAA]</w:t>
            </w:r>
          </w:p>
        </w:tc>
        <w:tc>
          <w:tcPr>
            <w:tcW w:type="dxa" w:w="39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rPr>
              <w:t xml:space="preserve">Versión inicial</w:t>
            </w:r>
          </w:p>
        </w:tc>
        <w:tc>
          <w:tcPr>
            <w:tcW w:type="dxa" w:w="20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[Nombre]</w:t>
            </w:r>
          </w:p>
        </w:tc>
      </w:tr>
    </w:tbl>
    <w:p>
      <w:r>
        <w:br w:type="page"/>
      </w:r>
    </w:p>
    <w:p>
      <w:pPr>
        <w:pStyle w:val="Heading1"/>
      </w:pPr>
      <w:bookmarkStart w:name="_Toc15" w:id="15"/>
      <w:r>
        <w:rPr>
          <w:rFonts w:ascii="Arial" w:cs="Arial" w:eastAsia="Arial" w:hAnsi="Arial"/>
        </w:rPr>
        <w:t xml:space="preserve">Anexo A. Registro de herramientas aprobadas</w:t>
      </w:r>
      <w:bookmarkEnd w:id="15"/>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00"/>
        <w:gridCol w:w="1800"/>
        <w:gridCol w:w="1200"/>
        <w:gridCol w:w="1500"/>
        <w:gridCol w:w="1426"/>
        <w:gridCol w:w="1400"/>
      </w:tblGrid>
      <w:tr>
        <w:trPr>
          <w:tblHeader/>
        </w:trPr>
        <w:tc>
          <w:tcPr>
            <w:tcW w:type="dxa" w:w="1700"/>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Herramienta y plan</w:t>
            </w:r>
          </w:p>
        </w:tc>
        <w:tc>
          <w:tcPr>
            <w:tcW w:type="dxa" w:w="1800"/>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Usos aprobados</w:t>
            </w:r>
          </w:p>
        </w:tc>
        <w:tc>
          <w:tcPr>
            <w:tcW w:type="dxa" w:w="1200"/>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Nivel máximo</w:t>
            </w:r>
          </w:p>
        </w:tc>
        <w:tc>
          <w:tcPr>
            <w:tcW w:type="dxa" w:w="1500"/>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¿Entrena con nuestros datos?</w:t>
            </w:r>
          </w:p>
        </w:tc>
        <w:tc>
          <w:tcPr>
            <w:tcW w:type="dxa" w:w="1426"/>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Ubicación de los datos</w:t>
            </w:r>
          </w:p>
        </w:tc>
        <w:tc>
          <w:tcPr>
            <w:tcW w:type="dxa" w:w="1400"/>
            <w:tcBorders>
              <w:top w:val="single" w:color="A1A1AA" w:sz="4"/>
              <w:left w:val="single" w:color="A1A1AA" w:sz="4"/>
              <w:bottom w:val="single" w:color="A1A1AA" w:sz="4"/>
              <w:right w:val="single" w:color="A1A1AA" w:sz="4"/>
            </w:tcBorders>
            <w:shd w:fill="09090B" w:color="auto" w:val="clear"/>
            <w:tcMar>
              <w:top w:type="dxa" w:w="80"/>
              <w:left w:type="dxa" w:w="120"/>
              <w:bottom w:type="dxa" w:w="80"/>
              <w:right w:type="dxa" w:w="120"/>
            </w:tcMar>
          </w:tcPr>
          <w:p>
            <w:r>
              <w:rPr>
                <w:rFonts w:ascii="Arial" w:cs="Arial" w:eastAsia="Arial" w:hAnsi="Arial"/>
                <w:b/>
                <w:bCs/>
                <w:color w:val="FFFFFF"/>
                <w:sz w:val="20"/>
                <w:szCs w:val="20"/>
              </w:rPr>
              <w:t xml:space="preserve">Aprobó / fecha</w:t>
            </w:r>
          </w:p>
        </w:tc>
      </w:tr>
      <w:tr>
        <w:tc>
          <w:tcPr>
            <w:tcW w:type="dxa" w:w="17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8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2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5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[Sí / No / Desactivado]</w:t>
            </w:r>
          </w:p>
        </w:tc>
        <w:tc>
          <w:tcPr>
            <w:tcW w:type="dxa" w:w="14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4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r>
      <w:tr>
        <w:tc>
          <w:tcPr>
            <w:tcW w:type="dxa" w:w="17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8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2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5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4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4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r>
      <w:tr>
        <w:tc>
          <w:tcPr>
            <w:tcW w:type="dxa" w:w="17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8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2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5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4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4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r>
      <w:tr>
        <w:tc>
          <w:tcPr>
            <w:tcW w:type="dxa" w:w="17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8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2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5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426"/>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c>
          <w:tcPr>
            <w:tcW w:type="dxa" w:w="1400"/>
            <w:tcBorders>
              <w:top w:val="single" w:color="A1A1AA" w:sz="4"/>
              <w:left w:val="single" w:color="A1A1AA" w:sz="4"/>
              <w:bottom w:val="single" w:color="A1A1AA" w:sz="4"/>
              <w:right w:val="single" w:color="A1A1AA" w:sz="4"/>
            </w:tcBorders>
            <w:tcMar>
              <w:top w:type="dxa" w:w="80"/>
              <w:left w:type="dxa" w:w="120"/>
              <w:bottom w:type="dxa" w:w="80"/>
              <w:right w:type="dxa" w:w="120"/>
            </w:tcMar>
          </w:tcPr>
          <w:p>
            <w:r>
              <w:rPr>
                <w:rFonts w:ascii="Arial" w:cs="Arial" w:eastAsia="Arial" w:hAnsi="Arial"/>
                <w:sz w:val="20"/>
                <w:szCs w:val="20"/>
                <w:highlight w:val="yellow"/>
              </w:rPr>
              <w:t xml:space="preserve">[ ]</w:t>
            </w:r>
          </w:p>
        </w:tc>
      </w:tr>
    </w:tbl>
    <w:p>
      <w:pPr>
        <w:spacing w:before="400"/>
      </w:pPr>
    </w:p>
    <w:p>
      <w:pPr>
        <w:pStyle w:val="Heading1"/>
      </w:pPr>
      <w:bookmarkStart w:name="_Toc16" w:id="16"/>
      <w:r>
        <w:rPr>
          <w:rFonts w:ascii="Arial" w:cs="Arial" w:eastAsia="Arial" w:hAnsi="Arial"/>
        </w:rPr>
        <w:t xml:space="preserve">Anexo B. Compromiso del colaborador</w:t>
      </w:r>
      <w:bookmarkEnd w:id="16"/>
    </w:p>
    <w:p>
      <w:pPr>
        <w:spacing w:after="140" w:line="300"/>
      </w:pPr>
      <w:r>
        <w:rPr>
          <w:rFonts w:ascii="Arial" w:cs="Arial" w:eastAsia="Arial" w:hAnsi="Arial"/>
        </w:rPr>
        <w:t xml:space="preserve">Yo, </w:t>
      </w:r>
      <w:r>
        <w:rPr>
          <w:rFonts w:ascii="Arial" w:cs="Arial" w:eastAsia="Arial" w:hAnsi="Arial"/>
          <w:highlight w:val="yellow"/>
        </w:rPr>
        <w:t xml:space="preserve">[nombre completo]</w:t>
      </w:r>
      <w:r>
        <w:rPr>
          <w:rFonts w:ascii="Arial" w:cs="Arial" w:eastAsia="Arial" w:hAnsi="Arial"/>
        </w:rPr>
        <w:t xml:space="preserve">, identificado(a) con </w:t>
      </w:r>
      <w:r>
        <w:rPr>
          <w:rFonts w:ascii="Arial" w:cs="Arial" w:eastAsia="Arial" w:hAnsi="Arial"/>
          <w:highlight w:val="yellow"/>
        </w:rPr>
        <w:t xml:space="preserve">[tipo y número de documento]</w:t>
      </w:r>
      <w:r>
        <w:rPr>
          <w:rFonts w:ascii="Arial" w:cs="Arial" w:eastAsia="Arial" w:hAnsi="Arial"/>
        </w:rPr>
        <w:t xml:space="preserve">, en mi calidad de </w:t>
      </w:r>
      <w:r>
        <w:rPr>
          <w:rFonts w:ascii="Arial" w:cs="Arial" w:eastAsia="Arial" w:hAnsi="Arial"/>
          <w:highlight w:val="yellow"/>
        </w:rPr>
        <w:t xml:space="preserve">[cargo]</w:t>
      </w:r>
      <w:r>
        <w:rPr>
          <w:rFonts w:ascii="Arial" w:cs="Arial" w:eastAsia="Arial" w:hAnsi="Arial"/>
        </w:rPr>
        <w:t xml:space="preserve"> de </w:t>
      </w:r>
      <w:r>
        <w:rPr>
          <w:rFonts w:ascii="Arial" w:cs="Arial" w:eastAsia="Arial" w:hAnsi="Arial"/>
          <w:highlight w:val="yellow"/>
        </w:rPr>
        <w:t xml:space="preserve">[NOMBRE DE LA EMPRESA]</w:t>
      </w:r>
      <w:r>
        <w:rPr>
          <w:rFonts w:ascii="Arial" w:cs="Arial" w:eastAsia="Arial" w:hAnsi="Arial"/>
        </w:rPr>
        <w:t xml:space="preserve">, declaro que leí y entendí la Política de uso de inteligencia artificial, versión </w:t>
      </w:r>
      <w:r>
        <w:rPr>
          <w:rFonts w:ascii="Arial" w:cs="Arial" w:eastAsia="Arial" w:hAnsi="Arial"/>
          <w:highlight w:val="yellow"/>
        </w:rPr>
        <w:t xml:space="preserve">[1.0]</w:t>
      </w:r>
      <w:r>
        <w:rPr>
          <w:rFonts w:ascii="Arial" w:cs="Arial" w:eastAsia="Arial" w:hAnsi="Arial"/>
        </w:rPr>
        <w:t xml:space="preserve">, y me comprometo a:</w:t>
      </w:r>
    </w:p>
    <w:p>
      <w:pPr>
        <w:pStyle w:val="ListParagraph"/>
        <w:numPr>
          <w:ilvl w:val="0"/>
          <w:numId w:val="2"/>
        </w:numPr>
        <w:spacing w:after="80" w:line="290"/>
      </w:pPr>
      <w:r>
        <w:rPr>
          <w:rFonts w:ascii="Arial" w:cs="Arial" w:eastAsia="Arial" w:hAnsi="Arial"/>
        </w:rPr>
        <w:t xml:space="preserve">Usar solo las herramientas aprobadas y con mi cuenta corporativa.</w:t>
      </w:r>
    </w:p>
    <w:p>
      <w:pPr>
        <w:pStyle w:val="ListParagraph"/>
        <w:numPr>
          <w:ilvl w:val="0"/>
          <w:numId w:val="2"/>
        </w:numPr>
        <w:spacing w:after="80" w:line="290"/>
      </w:pPr>
      <w:r>
        <w:rPr>
          <w:rFonts w:ascii="Arial" w:cs="Arial" w:eastAsia="Arial" w:hAnsi="Arial"/>
        </w:rPr>
        <w:t xml:space="preserve">No ingresar datos personales, sensibles, de menores ni información confidencial fuera de lo permitido.</w:t>
      </w:r>
    </w:p>
    <w:p>
      <w:pPr>
        <w:pStyle w:val="ListParagraph"/>
        <w:numPr>
          <w:ilvl w:val="0"/>
          <w:numId w:val="2"/>
        </w:numPr>
        <w:spacing w:after="80" w:line="290"/>
      </w:pPr>
      <w:r>
        <w:rPr>
          <w:rFonts w:ascii="Arial" w:cs="Arial" w:eastAsia="Arial" w:hAnsi="Arial"/>
        </w:rPr>
        <w:t xml:space="preserve">Revisar todo resultado de IA antes de usarlo y responder por él.</w:t>
      </w:r>
    </w:p>
    <w:p>
      <w:pPr>
        <w:pStyle w:val="ListParagraph"/>
        <w:numPr>
          <w:ilvl w:val="0"/>
          <w:numId w:val="2"/>
        </w:numPr>
        <w:spacing w:after="80" w:line="290"/>
      </w:pPr>
      <w:r>
        <w:rPr>
          <w:rFonts w:ascii="Arial" w:cs="Arial" w:eastAsia="Arial" w:hAnsi="Arial"/>
        </w:rPr>
        <w:t xml:space="preserve">Reportar de inmediato cualquier incidente.</w:t>
      </w:r>
    </w:p>
    <w:p>
      <w:pPr>
        <w:spacing w:before="600"/>
      </w:pPr>
      <w:r>
        <w:rPr>
          <w:rFonts w:ascii="Arial" w:cs="Arial" w:eastAsia="Arial" w:hAnsi="Arial"/>
        </w:rPr>
        <w:t xml:space="preserve">Firma: ______________________________</w:t>
      </w:r>
    </w:p>
    <w:p>
      <w:pPr>
        <w:spacing w:before="200"/>
      </w:pPr>
      <w:r>
        <w:rPr>
          <w:rFonts w:ascii="Arial" w:cs="Arial" w:eastAsia="Arial" w:hAnsi="Arial"/>
        </w:rPr>
        <w:t xml:space="preserve">Fecha: ______________________________</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2525B"/>
        <w:sz w:val="16"/>
        <w:szCs w:val="16"/>
      </w:rPr>
      <w:t xml:space="preserve">Página </w:t>
    </w:r>
    <w:r>
      <w:rPr>
        <w:rFonts w:ascii="Arial" w:cs="Arial" w:eastAsia="Arial" w:hAnsi="Arial"/>
        <w:color w:val="52525B"/>
        <w:sz w:val="16"/>
        <w:szCs w:val="16"/>
      </w:rPr>
      <w:fldChar w:fldCharType="begin"/>
    </w:r>
    <w:r>
      <w:rPr>
        <w:rFonts w:ascii="Arial" w:cs="Arial" w:eastAsia="Arial" w:hAnsi="Arial"/>
        <w:color w:val="52525B"/>
        <w:sz w:val="16"/>
        <w:szCs w:val="16"/>
      </w:rPr>
      <w:instrText xml:space="preserve">PAGE</w:instrText>
    </w:r>
    <w:r>
      <w:rPr>
        <w:rFonts w:ascii="Arial" w:cs="Arial" w:eastAsia="Arial" w:hAnsi="Arial"/>
        <w:color w:val="52525B"/>
        <w:sz w:val="16"/>
        <w:szCs w:val="16"/>
      </w:rPr>
      <w:fldChar w:fldCharType="separate"/>
    </w:r>
    <w:r>
      <w:rPr>
        <w:rFonts w:ascii="Arial" w:cs="Arial" w:eastAsia="Arial" w:hAnsi="Arial"/>
        <w:color w:val="52525B"/>
        <w:sz w:val="16"/>
        <w:szCs w:val="16"/>
      </w:rPr>
      <w:fldChar w:fldCharType="end"/>
    </w:r>
    <w:r>
      <w:rPr>
        <w:rFonts w:ascii="Arial" w:cs="Arial" w:eastAsia="Arial" w:hAnsi="Arial"/>
        <w:color w:val="52525B"/>
        <w:sz w:val="16"/>
        <w:szCs w:val="16"/>
      </w:rPr>
      <w:t xml:space="preserve">   ·   Plantilla de cristianparada.com/plantillas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2525B"/>
        <w:sz w:val="16"/>
        <w:szCs w:val="16"/>
      </w:rPr>
      <w:t xml:space="preserve">Política de uso de IA · </w:t>
    </w:r>
    <w:r>
      <w:rPr>
        <w:rFonts w:ascii="Arial" w:cs="Arial" w:eastAsia="Arial" w:hAnsi="Arial"/>
        <w:sz w:val="16"/>
        <w:szCs w:val="16"/>
        <w:highlight w:val="yellow"/>
      </w:rPr>
      <w:t xml:space="preserve">[NOMBRE DE LA EMPRESA]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00"/>
      </w:pPr>
    </w:lvl>
  </w:abstractNum>
  <w:abstractNum w:abstractNumId="4"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8181B"/>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DFE104" w:sz="18" w:space="4"/>
      </w:pBdr>
      <w:spacing w:after="160" w:before="360"/>
      <w:outlineLvl w:val="0"/>
    </w:pPr>
    <w:rPr>
      <w:rFonts w:ascii="Arial" w:cs="Arial" w:eastAsia="Arial" w:hAnsi="Arial"/>
      <w:b/>
      <w:bCs/>
      <w:color w:val="09090B"/>
      <w:sz w:val="30"/>
      <w:szCs w:val="30"/>
    </w:rPr>
  </w:style>
  <w:style w:type="paragraph" w:styleId="Heading2">
    <w:name w:val="Heading 2"/>
    <w:basedOn w:val="Normal"/>
    <w:next w:val="Normal"/>
    <w:qFormat/>
    <w:pPr>
      <w:spacing w:after="120" w:before="240"/>
      <w:outlineLvl w:val="1"/>
    </w:pPr>
    <w:rPr>
      <w:rFonts w:ascii="Arial" w:cs="Arial" w:eastAsia="Arial" w:hAnsi="Arial"/>
      <w:b/>
      <w:bCs/>
      <w:color w:val="09090B"/>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m4y8qmxzc7s-q-v4petvc" Type="http://schemas.openxmlformats.org/officeDocument/2006/relationships/hyperlink" Target="https://www.funcionpublica.gov.co/eva/gestornormativo/norma.php?i=49981" TargetMode="External"/><Relationship Id="rIdjq-nc8tslq0m0bpfjridv" Type="http://schemas.openxmlformats.org/officeDocument/2006/relationships/hyperlink" Target="https://www.funcionpublica.gov.co/eva/gestornormativo/norma.php?i=53646" TargetMode="External"/><Relationship Id="rIdy-5kl2rcytega80weis5v" Type="http://schemas.openxmlformats.org/officeDocument/2006/relationships/hyperlink" Target="https://sedeelectronica.sic.gov.co/sites/default/files/normativa/Circular%20Externa%20No.%20002%20del%2021%20de%20agosto%20de%202024.pdf" TargetMode="External"/><Relationship Id="rIdjoktpedco1euve1xs_8em" Type="http://schemas.openxmlformats.org/officeDocument/2006/relationships/hyperlink" Target="https://www.sic.gov.co/sobre-la-proteccion-de-datos-personales"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uso de inteligencia artificial – plantilla</dc:title>
  <dc:creator>Cristian Parada</dc:creator>
  <dc:description>Plantilla orientativa de política de uso de IA para empresas en Colombia</dc:description>
  <cp:lastModifiedBy>Un-named</cp:lastModifiedBy>
  <cp:revision>1</cp:revision>
  <dcterms:created xsi:type="dcterms:W3CDTF">2026-10-19T03:43:16.850Z</dcterms:created>
  <dcterms:modified xsi:type="dcterms:W3CDTF">2026-10-19T03:43:16.850Z</dcterms:modified>
</cp:coreProperties>
</file>

<file path=docProps/custom.xml><?xml version="1.0" encoding="utf-8"?>
<Properties xmlns="http://schemas.openxmlformats.org/officeDocument/2006/custom-properties" xmlns:vt="http://schemas.openxmlformats.org/officeDocument/2006/docPropsVTypes"/>
</file>